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3.jpeg" ContentType="image/jpeg"/>
  <Override PartName="/word/media/image11.jpeg" ContentType="image/jpeg"/>
  <Override PartName="/word/media/image10.jpeg" ContentType="image/jpeg"/>
  <Override PartName="/word/media/image9.wmf" ContentType="image/x-wmf"/>
  <Override PartName="/word/media/image8.wmf" ContentType="image/x-wmf"/>
  <Override PartName="/word/media/image7.wmf" ContentType="image/x-wmf"/>
  <Override PartName="/word/media/image12.jpeg" ContentType="image/jpeg"/>
  <Override PartName="/word/media/image1.wmf" ContentType="image/x-wmf"/>
  <Override PartName="/word/media/image3.tif" ContentType="image/tiff"/>
  <Override PartName="/word/media/image2.wmf" ContentType="image/x-wmf"/>
  <Override PartName="/word/media/image4.jpeg" ContentType="image/jpeg"/>
  <Override PartName="/word/media/image5.jpeg" ContentType="image/jpeg"/>
  <Override PartName="/word/media/image6.wmf" ContentType="image/x-wmf"/>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200"/>
        <w:rPr/>
      </w:pPr>
      <w:bookmarkStart w:id="0" w:name="_GoBack"/>
      <w:bookmarkEnd w:id="0"/>
      <w:r>
        <w:rPr>
          <w:rFonts w:cs="Times New Roman" w:ascii="Times New Roman" w:hAnsi="Times New Roman"/>
          <w:sz w:val="24"/>
          <w:szCs w:val="24"/>
        </w:rPr>
        <w:t>DOI: 10.1002/</w:t>
      </w:r>
      <w:r>
        <w:rPr>
          <w:rFonts w:cs="Times New Roman" w:ascii="Times New Roman" w:hAnsi="Times New Roman"/>
          <w:sz w:val="24"/>
          <w:szCs w:val="24"/>
        </w:rPr>
        <w:t>adhm.201800507</w:t>
      </w:r>
    </w:p>
    <w:p>
      <w:pPr>
        <w:pStyle w:val="Normal"/>
        <w:rPr>
          <w:rFonts w:ascii="Times New Roman" w:hAnsi="Times New Roman" w:cs="Times New Roman"/>
          <w:sz w:val="24"/>
          <w:szCs w:val="24"/>
        </w:rPr>
      </w:pPr>
      <w:r>
        <w:rPr>
          <w:rFonts w:cs="Times New Roman" w:ascii="Times New Roman" w:hAnsi="Times New Roman"/>
          <w:b/>
          <w:sz w:val="24"/>
          <w:szCs w:val="24"/>
        </w:rPr>
        <w:t>Article type:</w:t>
      </w:r>
      <w:r>
        <w:rPr>
          <w:rFonts w:cs="Times New Roman" w:ascii="Times New Roman" w:hAnsi="Times New Roman"/>
          <w:b/>
        </w:rPr>
        <w:t xml:space="preserve"> </w:t>
      </w:r>
      <w:r>
        <w:rPr>
          <w:rFonts w:cs="Times New Roman" w:ascii="Times New Roman" w:hAnsi="Times New Roman"/>
          <w:sz w:val="24"/>
          <w:szCs w:val="24"/>
        </w:rPr>
        <w:t>Full paper</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Novel </w:t>
      </w:r>
      <w:r>
        <w:rPr>
          <w:rFonts w:cs="Times New Roman" w:ascii="Times New Roman" w:hAnsi="Times New Roman"/>
          <w:b/>
          <w:i/>
          <w:sz w:val="24"/>
          <w:szCs w:val="24"/>
        </w:rPr>
        <w:t>in situ</w:t>
      </w:r>
      <w:r>
        <w:rPr>
          <w:rFonts w:cs="Times New Roman" w:ascii="Times New Roman" w:hAnsi="Times New Roman"/>
          <w:b/>
          <w:sz w:val="24"/>
          <w:szCs w:val="24"/>
        </w:rPr>
        <w:t xml:space="preserve"> gelling hydrogels loaded with recombinant collagen peptide microspheres as a slow-release system induce ectopic bone formation</w:t>
      </w:r>
    </w:p>
    <w:p>
      <w:pPr>
        <w:pStyle w:val="Normal"/>
        <w:spacing w:lineRule="auto" w:line="240" w:before="240" w:after="200"/>
        <w:contextualSpacing/>
        <w:rPr>
          <w:rFonts w:ascii="Times New Roman" w:hAnsi="Times New Roman" w:cs="Times New Roman"/>
          <w:i/>
          <w:i/>
          <w:sz w:val="24"/>
          <w:szCs w:val="24"/>
        </w:rPr>
      </w:pPr>
      <w:r>
        <w:rPr>
          <w:rFonts w:cs="Times New Roman" w:ascii="Times New Roman" w:hAnsi="Times New Roman"/>
          <w:i/>
          <w:sz w:val="24"/>
          <w:szCs w:val="24"/>
        </w:rPr>
        <w:t xml:space="preserve">Shorouk Fahmy-Garcia, Didem Mumcuoglu, Laura de Miguel, Veerle Dieleman, Janneke Witte-Bouma, Bram C. J. van der Eerden, Marjolein van Driel, David Eglin, Jan A. N. Verhaar, Sebastiaan G.J.M. Kluijtmans, Gerjo J.V.M van Osch, and Eric Farrell* </w:t>
      </w:r>
    </w:p>
    <w:p>
      <w:pPr>
        <w:pStyle w:val="Normal"/>
        <w:spacing w:before="240" w:after="200"/>
        <w:contextualSpacing/>
        <w:rPr>
          <w:sz w:val="24"/>
          <w:szCs w:val="24"/>
        </w:rPr>
      </w:pPr>
      <w:r>
        <w:rPr>
          <w:sz w:val="24"/>
          <w:szCs w:val="24"/>
        </w:rPr>
      </w:r>
    </w:p>
    <w:p>
      <w:pPr>
        <w:pStyle w:val="Normal"/>
        <w:spacing w:lineRule="auto" w:line="240" w:before="240" w:after="200"/>
        <w:contextualSpacing/>
        <w:rPr>
          <w:rFonts w:ascii="Times New Roman" w:hAnsi="Times New Roman" w:cs="Times New Roman"/>
          <w:sz w:val="24"/>
          <w:szCs w:val="24"/>
          <w:lang w:val="nl-NL"/>
        </w:rPr>
      </w:pPr>
      <w:r>
        <w:rPr>
          <w:rFonts w:cs="Times New Roman" w:ascii="Times New Roman" w:hAnsi="Times New Roman"/>
          <w:sz w:val="24"/>
          <w:szCs w:val="24"/>
          <w:lang w:val="nl-NL"/>
        </w:rPr>
        <w:t>S. Fahmy-Garcia, D. Mumcuoglu, Prof. J. A. N. Verhaar, Prof. G. J. V. M. van Osch</w:t>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Department of Orthopedics</w:t>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Erasmus MC</w:t>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Wytemaweg 80, 3015CN, Rotterdam, The Netherlands</w:t>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 xml:space="preserve"> </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szCs w:val="24"/>
          <w:lang w:val="nl-NL"/>
        </w:rPr>
        <w:t xml:space="preserve">D. Mumcuoglu, Dr. L. de Miguel, Dr. S. G. J. M. Kluijtmans </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 xml:space="preserve">Fujifilm Manufacturing Europe B.V, </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t>Oudenstaart 1, 5047TK, Tilburg, The Netherlands.</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r>
    </w:p>
    <w:p>
      <w:pPr>
        <w:pStyle w:val="Normal"/>
        <w:spacing w:lineRule="auto" w:line="240" w:before="240" w:after="200"/>
        <w:contextualSpacing/>
        <w:rPr>
          <w:rFonts w:ascii="Times New Roman" w:hAnsi="Times New Roman" w:cs="Times New Roman"/>
          <w:sz w:val="24"/>
          <w:lang w:val="de-DE"/>
        </w:rPr>
      </w:pPr>
      <w:r>
        <w:rPr>
          <w:rFonts w:cs="Times New Roman" w:ascii="Times New Roman" w:hAnsi="Times New Roman"/>
          <w:sz w:val="24"/>
          <w:lang w:val="de-DE"/>
        </w:rPr>
        <w:t>V. D. Dieleman, J. Witte-Bouma, Dr. E. Farrell</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Department of Oral and Maxillofacial Surgery, Special Dental Care and Orthodontics</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t>Erasmus MC</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t>Wytemaweg 80, 3015CN, Rotterdam, The Netherlands</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t>e.farrell@erasmusmc.nl</w:t>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lang w:val="nl-NL"/>
        </w:rPr>
      </w:r>
    </w:p>
    <w:p>
      <w:pPr>
        <w:pStyle w:val="Normal"/>
        <w:spacing w:lineRule="auto" w:line="240" w:before="240" w:after="200"/>
        <w:contextualSpacing/>
        <w:rPr>
          <w:rFonts w:ascii="Times New Roman" w:hAnsi="Times New Roman" w:cs="Times New Roman"/>
          <w:sz w:val="24"/>
          <w:lang w:val="nl-NL"/>
        </w:rPr>
      </w:pPr>
      <w:r>
        <w:rPr>
          <w:rFonts w:cs="Times New Roman" w:ascii="Times New Roman" w:hAnsi="Times New Roman"/>
          <w:sz w:val="24"/>
          <w:szCs w:val="24"/>
          <w:lang w:val="nl-NL"/>
        </w:rPr>
        <w:t>S. Fahmy-Garcia, Dr. B. C. J. van der Eerden, Dr. M. van Driel</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Department of Internal Medicine</w:t>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Erasmus MC</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lang w:val="en-GB"/>
        </w:rPr>
        <w:t>Wytemaweg 80, 3015CN</w:t>
      </w:r>
      <w:r>
        <w:rPr>
          <w:rFonts w:cs="Times New Roman" w:ascii="Times New Roman" w:hAnsi="Times New Roman"/>
          <w:sz w:val="24"/>
        </w:rPr>
        <w:t>, Rotterdam, The Netherlands</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Dr. D. Eglin</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AO Research Institute Davos</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Clavadelerstrasse 8, 7270, Davos, Switzerland.</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szCs w:val="24"/>
        </w:rPr>
        <w:t>Prof. G. J. V.M. van Osch</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Department of Otorhinolaryngology, Head and Neck Surgery</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t>Erasmus MC</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lang w:val="en-GB"/>
        </w:rPr>
        <w:t>Wytemaweg 80, 3015CN</w:t>
      </w:r>
      <w:r>
        <w:rPr>
          <w:rFonts w:cs="Times New Roman" w:ascii="Times New Roman" w:hAnsi="Times New Roman"/>
          <w:sz w:val="24"/>
        </w:rPr>
        <w:t>, Rotterdam, The Netherlands</w:t>
      </w:r>
    </w:p>
    <w:p>
      <w:pPr>
        <w:pStyle w:val="Normal"/>
        <w:spacing w:lineRule="auto" w:line="240" w:before="240" w:after="200"/>
        <w:contextualSpacing/>
        <w:rPr>
          <w:rFonts w:ascii="Times New Roman" w:hAnsi="Times New Roman" w:cs="Times New Roman"/>
          <w:sz w:val="24"/>
        </w:rPr>
      </w:pPr>
      <w:r>
        <w:rPr>
          <w:rFonts w:cs="Times New Roman" w:ascii="Times New Roman" w:hAnsi="Times New Roman"/>
          <w:sz w:val="24"/>
        </w:rPr>
      </w:r>
    </w:p>
    <w:p>
      <w:pPr>
        <w:pStyle w:val="Normal"/>
        <w:spacing w:lineRule="auto" w:line="240" w:before="240" w:after="200"/>
        <w:contextualSpacing/>
        <w:rPr/>
      </w:pPr>
      <w:r>
        <w:rPr>
          <w:rFonts w:cs="Times New Roman" w:ascii="Times New Roman" w:hAnsi="Times New Roman"/>
          <w:sz w:val="24"/>
          <w:lang w:val="en-GB"/>
        </w:rPr>
        <w:t xml:space="preserve">* corresponding author: </w:t>
      </w:r>
      <w:hyperlink r:id="rId2">
        <w:r>
          <w:rPr>
            <w:rStyle w:val="InternetLink"/>
            <w:rFonts w:cs="Times New Roman" w:ascii="Times New Roman" w:hAnsi="Times New Roman"/>
            <w:sz w:val="24"/>
            <w:lang w:val="en-GB"/>
          </w:rPr>
          <w:t>e.farrell@erasmusmc.nl</w:t>
        </w:r>
      </w:hyperlink>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r>
    </w:p>
    <w:p>
      <w:pPr>
        <w:pStyle w:val="Normal"/>
        <w:spacing w:lineRule="auto" w:line="240" w:before="240" w:after="200"/>
        <w:contextualSpacing/>
        <w:rPr>
          <w:rFonts w:ascii="Times New Roman" w:hAnsi="Times New Roman" w:cs="Times New Roman"/>
          <w:sz w:val="24"/>
          <w:lang w:val="en-GB"/>
        </w:rPr>
      </w:pPr>
      <w:r>
        <w:rPr>
          <w:rFonts w:cs="Times New Roman" w:ascii="Times New Roman" w:hAnsi="Times New Roman"/>
          <w:sz w:val="24"/>
          <w:lang w:val="en-GB"/>
        </w:rPr>
        <w:t>Keywords: Injectable in situ gelling slow release system; bone tissue engineering; alginate; hyaluronan; BMP-2 (bone morphogenetic protein-2)</w:t>
      </w:r>
    </w:p>
    <w:p>
      <w:pPr>
        <w:pStyle w:val="Normal"/>
        <w:rPr>
          <w:rFonts w:ascii="Times New Roman" w:hAnsi="Times New Roman" w:cs="Times New Roman"/>
          <w:b/>
          <w:b/>
          <w:sz w:val="24"/>
          <w:szCs w:val="24"/>
          <w:lang w:val="en-GB"/>
        </w:rPr>
      </w:pPr>
      <w:r>
        <w:rPr>
          <w:rFonts w:cs="Times New Roman" w:ascii="Times New Roman" w:hAnsi="Times New Roman"/>
          <w:b/>
          <w:sz w:val="24"/>
          <w:szCs w:val="24"/>
          <w:lang w:val="en-GB"/>
        </w:rPr>
      </w:r>
    </w:p>
    <w:p>
      <w:pPr>
        <w:pStyle w:val="Normal"/>
        <w:spacing w:lineRule="auto" w:line="480"/>
        <w:rPr>
          <w:rFonts w:ascii="Times New Roman" w:hAnsi="Times New Roman" w:cs="Times New Roman"/>
          <w:sz w:val="24"/>
          <w:szCs w:val="24"/>
        </w:rPr>
      </w:pPr>
      <w:r>
        <w:rPr>
          <w:rFonts w:cs="Times New Roman" w:ascii="Times New Roman" w:hAnsi="Times New Roman"/>
          <w:sz w:val="24"/>
          <w:szCs w:val="24"/>
        </w:rPr>
        <w:t xml:space="preserve">Clinically, there is still a need for new solutions to large bone defect repair. Here, </w:t>
      </w:r>
      <w:r>
        <w:rPr>
          <w:rFonts w:cs="Times New Roman" w:ascii="Times New Roman" w:hAnsi="Times New Roman"/>
          <w:i/>
          <w:sz w:val="24"/>
          <w:szCs w:val="24"/>
        </w:rPr>
        <w:t>in situ</w:t>
      </w:r>
      <w:r>
        <w:rPr>
          <w:rFonts w:cs="Times New Roman" w:ascii="Times New Roman" w:hAnsi="Times New Roman"/>
          <w:sz w:val="24"/>
          <w:szCs w:val="24"/>
        </w:rPr>
        <w:t xml:space="preserve"> gelling slow release systems for bone induction are assessed. Collagen-I based Recombinant Peptide (RCP) microspheres (MS) were produced</w:t>
      </w:r>
      <w:r>
        <w:rPr>
          <w:rFonts w:cs="Times New Roman" w:ascii="Times New Roman" w:hAnsi="Times New Roman"/>
          <w:sz w:val="24"/>
          <w:szCs w:val="24"/>
          <w:vertAlign w:val="subscript"/>
        </w:rPr>
        <w:t xml:space="preserve"> </w:t>
      </w:r>
      <w:r>
        <w:rPr>
          <w:rFonts w:cs="Times New Roman" w:ascii="Times New Roman" w:hAnsi="Times New Roman"/>
          <w:sz w:val="24"/>
          <w:szCs w:val="24"/>
        </w:rPr>
        <w:t>and used as a carrier for BMP-2. The RCP-MS were dispersed in three hydrogels: high mannuronate (SLM) alginate, high guluronate (SLG) alginate and thermoresponsive hyaluronan derivative (HApN). HApN+ RCP-MS forms </w:t>
      </w:r>
      <w:r>
        <w:rPr>
          <w:rFonts w:cs="Times New Roman" w:ascii="Times New Roman" w:hAnsi="Times New Roman"/>
          <w:sz w:val="24"/>
          <w:szCs w:val="24"/>
          <w:lang w:val="en-IE"/>
        </w:rPr>
        <w:t>a gel structure at 32 ºC or above, while SLM+</w:t>
      </w:r>
      <w:r>
        <w:rPr>
          <w:rFonts w:cs="Times New Roman" w:ascii="Times New Roman" w:hAnsi="Times New Roman"/>
          <w:sz w:val="24"/>
          <w:szCs w:val="24"/>
        </w:rPr>
        <w:t xml:space="preserve"> RCP-MS</w:t>
      </w:r>
      <w:r>
        <w:rPr>
          <w:rFonts w:cs="Times New Roman" w:ascii="Times New Roman" w:hAnsi="Times New Roman"/>
          <w:sz w:val="24"/>
          <w:szCs w:val="24"/>
          <w:lang w:val="en-IE"/>
        </w:rPr>
        <w:t xml:space="preserve"> and SLG+</w:t>
      </w:r>
      <w:r>
        <w:rPr>
          <w:rFonts w:cs="Times New Roman" w:ascii="Times New Roman" w:hAnsi="Times New Roman"/>
          <w:sz w:val="24"/>
          <w:szCs w:val="24"/>
        </w:rPr>
        <w:t xml:space="preserve"> RCP-MS</w:t>
      </w:r>
      <w:r>
        <w:rPr>
          <w:rFonts w:cs="Times New Roman" w:ascii="Times New Roman" w:hAnsi="Times New Roman"/>
          <w:sz w:val="24"/>
          <w:szCs w:val="24"/>
          <w:lang w:val="en-IE"/>
        </w:rPr>
        <w:t xml:space="preserve"> respond to shear stress displaying </w:t>
      </w:r>
      <w:r>
        <w:rPr>
          <w:rFonts w:cs="Times New Roman" w:ascii="Times New Roman" w:hAnsi="Times New Roman"/>
          <w:sz w:val="24"/>
          <w:szCs w:val="24"/>
        </w:rPr>
        <w:t>thixotropic behavior. Alginate formulations show sustained release of BMP-2, while there was minimal release from HApN. These formulations were injected</w:t>
      </w:r>
      <w:r>
        <w:rPr>
          <w:rFonts w:cs="Times New Roman" w:ascii="Times New Roman" w:hAnsi="Times New Roman"/>
          <w:i/>
          <w:sz w:val="24"/>
          <w:szCs w:val="24"/>
        </w:rPr>
        <w:t xml:space="preserve"> </w:t>
      </w:r>
      <w:r>
        <w:rPr>
          <w:rFonts w:cs="Times New Roman" w:ascii="Times New Roman" w:hAnsi="Times New Roman"/>
          <w:sz w:val="24"/>
          <w:szCs w:val="24"/>
        </w:rPr>
        <w:t>subcutaneously in rats. SLM+RCP-MS and SLG+RCP-MS loaded with BMP-2 induced ectopic bone formation in the rats as revealed by X-ray tomography and histology, whereas HApN+ RCP-MS did not. Vascularization occurred within all the formulations studied and was significantly higher in SLG+MS and HApN+ RCP-MS than in SLM+ RCP-MS. CD68, iNOS and CD206 were used as markers to assess the presence of different macrophage phenotypes. Inflammation decreased over time in both alginate groups, but increased in the HApN+ RCP-MS condition. We show that a balance between inflammatory cell infiltration, BMP-2 release and vascularization, achieved in the SLG+ RCP-MS alginate condition, is optimal for the induction of de novo bone formation.</w:t>
      </w:r>
    </w:p>
    <w:p>
      <w:pPr>
        <w:pStyle w:val="Heading1"/>
        <w:numPr>
          <w:ilvl w:val="0"/>
          <w:numId w:val="0"/>
        </w:numPr>
        <w:spacing w:lineRule="auto" w:line="360"/>
        <w:jc w:val="both"/>
        <w:rPr>
          <w:rFonts w:ascii="Times New Roman" w:hAnsi="Times New Roman" w:cs="Times New Roman"/>
        </w:rPr>
      </w:pPr>
      <w:r>
        <w:rPr>
          <w:rFonts w:cs="Times New Roman" w:ascii="Times New Roman" w:hAnsi="Times New Roman"/>
        </w:rPr>
        <w:t>1. Introduction</w:t>
      </w:r>
    </w:p>
    <w:p>
      <w:pPr>
        <w:pStyle w:val="Normal"/>
        <w:spacing w:lineRule="auto" w:line="480"/>
        <w:jc w:val="both"/>
        <w:rPr/>
      </w:pPr>
      <w:r>
        <w:rPr>
          <w:rFonts w:cs="Times New Roman" w:ascii="Times New Roman" w:hAnsi="Times New Roman"/>
          <w:sz w:val="24"/>
          <w:szCs w:val="24"/>
        </w:rPr>
        <w:t xml:space="preserve">Bone is a tissue with high self-regeneration capacity. However, in cases of trauma or certain diseases bone does not heal properly and therefore surgical intervention using autografts or allografts is necessary. Currently, autografts are the gold standard; however, they are associated with donor site morbidity, increased pain, high cost and long patient recovery time. The alternative is to use allografts, but they carry the risk of immunogenicity, infectious agents and lack the osteoinductive capacity of autografts </w:t>
      </w:r>
      <w:r>
        <w:fldChar w:fldCharType="begin"/>
      </w:r>
      <w:r>
        <w:rPr/>
        <w:instrText>ADDIN EN.CITE</w:instrText>
      </w:r>
      <w:r>
        <w:rPr/>
        <w:fldChar w:fldCharType="separate"/>
      </w:r>
      <w:bookmarkStart w:id="1" w:name="__Fieldmark__221_1302293411"/>
      <w:r>
        <w:rPr/>
      </w:r>
      <w:r>
        <w:rPr/>
      </w:r>
      <w:r>
        <w:rPr/>
        <w:fldChar w:fldCharType="end"/>
      </w:r>
      <w:r>
        <w:fldChar w:fldCharType="begin"/>
      </w:r>
      <w:r>
        <w:rPr/>
        <w:instrText>ADDIN EN.CITE.DATA</w:instrText>
      </w:r>
      <w:r>
        <w:rPr/>
        <w:fldChar w:fldCharType="separate"/>
      </w:r>
      <w:bookmarkStart w:id="2" w:name="__Fieldmark__220_1302293411"/>
      <w:bookmarkEnd w:id="1"/>
      <w:r>
        <w:rPr/>
      </w:r>
      <w:r>
        <w:rPr>
          <w:rFonts w:cs="Times New Roman" w:ascii="Times New Roman" w:hAnsi="Times New Roman"/>
          <w:sz w:val="24"/>
          <w:szCs w:val="24"/>
          <w:vertAlign w:val="superscript"/>
        </w:rPr>
        <w:t>[1]</w:t>
      </w:r>
      <w:r>
        <w:rPr/>
      </w:r>
      <w:r>
        <w:rPr/>
        <w:fldChar w:fldCharType="end"/>
      </w:r>
      <w:bookmarkEnd w:id="2"/>
      <w:r>
        <w:rPr>
          <w:rFonts w:cs="Times New Roman" w:ascii="Times New Roman" w:hAnsi="Times New Roman"/>
          <w:sz w:val="24"/>
          <w:szCs w:val="24"/>
        </w:rPr>
        <w:t xml:space="preserve">. To overcome these limitations there has been a vast effort to develop new biomaterials to aid large bone defect repair. Among these materials, natural biomaterials have been widely studied due to their advantages, such as biodegradability, biocompatibility and the ability to interact with the extracellular matrix and cells </w:t>
      </w:r>
      <w:r>
        <w:fldChar w:fldCharType="begin"/>
      </w:r>
      <w:r>
        <w:rPr/>
        <w:instrText>ADDIN EN.CITE &lt;EndNote&gt;&lt;Cite&gt;&lt;Author&gt;Van Vlierberghe&lt;/Author&gt;&lt;Year&gt;2011&lt;/Year&gt;&lt;RecNum&gt;2&lt;/RecNum&gt;&lt;DisplayText&gt;&lt;style face="superscript"&gt;[2]&lt;/style&gt;&lt;/DisplayText&gt;&lt;record&gt;&lt;rec-number&gt;2&lt;/rec-number&gt;&lt;foreign-keys&gt;&lt;key app="EN" db-id="wdds2t9tiwvf9mee0ac52ewfxse5dwxfx9ad" timestamp="1513894145"&gt;2&lt;/key&gt;&lt;/foreign-keys&gt;&lt;ref-type name="Journal Article"&gt;17&lt;/ref-type&gt;&lt;contributors&gt;&lt;authors&gt;&lt;author&gt;Van Vlierberghe, S.&lt;/author&gt;&lt;author&gt;Dubruel, P.&lt;/author&gt;&lt;author&gt;Schacht, E.&lt;/author&gt;&lt;/authors&gt;&lt;/contributors&gt;&lt;auth-address&gt;Polymer Chemistry &amp;amp; Biomaterials Research Group, Ghent University, Ghent, Belgium.&lt;/auth-address&gt;&lt;titles&gt;&lt;title&gt;Biopolymer-based hydrogels as scaffolds for tissue engineering applications: a review&lt;/title&gt;&lt;secondary-title&gt;Biomacromolecules&lt;/secondary-title&gt;&lt;/titles&gt;&lt;periodical&gt;&lt;full-title&gt;Biomacromolecules&lt;/full-title&gt;&lt;abbr-1&gt;Biomacromolecules&lt;/abbr-1&gt;&lt;abbr-2&gt;Biomacromolecules&lt;/abbr-2&gt;&lt;/periodical&gt;&lt;pages&gt;1387-408&lt;/pages&gt;&lt;volume&gt;12&lt;/volume&gt;&lt;number&gt;5&lt;/number&gt;&lt;keywords&gt;&lt;keyword&gt;*Biopolymers&lt;/keyword&gt;&lt;keyword&gt;*Hydrogels&lt;/keyword&gt;&lt;keyword&gt;*Tissue Engineering&lt;/keyword&gt;&lt;/keywords&gt;&lt;dates&gt;&lt;year&gt;2011&lt;/year&gt;&lt;pub-dates&gt;&lt;date&gt;May 09&lt;/date&gt;&lt;/pub-dates&gt;&lt;/dates&gt;&lt;isbn&gt;1526-4602 (Electronic)&amp;#xD;1525-7797 (Linking)&lt;/isbn&gt;&lt;accession-num&gt;21388145&lt;/accession-num&gt;&lt;urls&gt;&lt;related-urls&gt;&lt;url&gt;https://www.ncbi.nlm.nih.gov/pubmed/21388145&lt;/url&gt;&lt;/related-urls&gt;&lt;/urls&gt;&lt;electronic-resource-num&gt;10.1021/bm200083n&lt;/electronic-resource-num&gt;&lt;/record&gt;&lt;/Cite&gt;&lt;/EndNote&gt;</w:instrText>
      </w:r>
      <w:r>
        <w:rPr/>
        <w:fldChar w:fldCharType="separate"/>
      </w:r>
      <w:bookmarkStart w:id="3" w:name="__Fieldmark__238_1302293411"/>
      <w:r>
        <w:rPr/>
      </w:r>
      <w:r>
        <w:rPr>
          <w:rFonts w:cs="Times New Roman" w:ascii="Times New Roman" w:hAnsi="Times New Roman"/>
          <w:sz w:val="24"/>
          <w:szCs w:val="24"/>
          <w:vertAlign w:val="superscript"/>
        </w:rPr>
        <w:t>[2]</w:t>
      </w:r>
      <w:r>
        <w:rPr/>
      </w:r>
      <w:r>
        <w:rPr/>
        <w:fldChar w:fldCharType="end"/>
      </w:r>
      <w:bookmarkEnd w:id="3"/>
      <w:r>
        <w:rPr>
          <w:rFonts w:cs="Times New Roman" w:ascii="Times New Roman" w:hAnsi="Times New Roman"/>
          <w:sz w:val="24"/>
          <w:szCs w:val="24"/>
        </w:rPr>
        <w:t xml:space="preserve">. Injectable formulations are preferred over implants for the treatment of defects that do not require operational fixation since the application is easier and the patient will not suffer from surgery and consequently, achieve a faster recovery. Moreover, in the case of irregular bone defects, injectable scaffolds might be advantageous because they can adapt to the defect shape better </w:t>
      </w:r>
      <w:r>
        <w:fldChar w:fldCharType="begin"/>
      </w:r>
      <w:r>
        <w:rPr/>
        <w:instrText>ADDIN EN.CITE &lt;EndNote&gt;&lt;Cite&gt;&lt;Author&gt;Kretlow&lt;/Author&gt;&lt;Year&gt;2009&lt;/Year&gt;&lt;RecNum&gt;3&lt;/RecNum&gt;&lt;DisplayText&gt;&lt;style face="superscript"&gt;[3]&lt;/style&gt;&lt;/DisplayText&gt;&lt;record&gt;&lt;rec-number&gt;3&lt;/rec-number&gt;&lt;foreign-keys&gt;&lt;key app="EN" db-id="wdds2t9tiwvf9mee0ac52ewfxse5dwxfx9ad" timestamp="1513894145"&gt;3&lt;/key&gt;&lt;/foreign-keys&gt;&lt;ref-type name="Journal Article"&gt;17&lt;/ref-type&gt;&lt;contributors&gt;&lt;authors&gt;&lt;author&gt;Kretlow, J. D.&lt;/author&gt;&lt;author&gt;Young, S.&lt;/author&gt;&lt;author&gt;Klouda, L.&lt;/author&gt;&lt;author&gt;Wong, M.&lt;/author&gt;&lt;author&gt;Mikos, A. G.&lt;/author&gt;&lt;/authors&gt;&lt;/contributors&gt;&lt;auth-address&gt;Department of Bioengineering, Rice University, Houston, TX 77251-1892, USA.&lt;/auth-address&gt;&lt;titles&gt;&lt;title&gt;Injectable biomaterials for regenerating complex craniofacial tissues&lt;/title&gt;&lt;secondary-title&gt;Adv Mater&lt;/secondary-title&gt;&lt;/titles&gt;&lt;pages&gt;3368-93&lt;/pages&gt;&lt;volume&gt;21&lt;/volume&gt;&lt;number&gt;32-33&lt;/number&gt;&lt;edition&gt;2009/09/15&lt;/edition&gt;&lt;dates&gt;&lt;year&gt;2009&lt;/year&gt;&lt;pub-dates&gt;&lt;date&gt;Sep 4&lt;/date&gt;&lt;/pub-dates&gt;&lt;/dates&gt;&lt;isbn&gt;1521-4095 (Electronic)&amp;#xD;0935-9648 (Linking)&lt;/isbn&gt;&lt;accession-num&gt;19750143&lt;/accession-num&gt;&lt;urls&gt;&lt;related-urls&gt;&lt;url&gt;http://www.ncbi.nlm.nih.gov/pubmed/19750143&lt;/url&gt;&lt;url&gt;http://onlinelibrary.wiley.com/store/10.1002/adma.200802009/asset/3368_ftp.pdf?v=1&amp;amp;t=itztafew&amp;amp;s=a3d9d90e4e29f092267e08a3e42df6cf403254d0&lt;/url&gt;&lt;/related-urls&gt;&lt;/urls&gt;&lt;custom2&gt;2742469&lt;/custom2&gt;&lt;electronic-resource-num&gt;10.1002/adma.200802009&lt;/electronic-resource-num&gt;&lt;language&gt;eng&lt;/language&gt;&lt;/record&gt;&lt;/Cite&gt;&lt;/EndNote&gt;</w:instrText>
      </w:r>
      <w:r>
        <w:rPr/>
        <w:fldChar w:fldCharType="separate"/>
      </w:r>
      <w:bookmarkStart w:id="4" w:name="__Fieldmark__248_1302293411"/>
      <w:r>
        <w:rPr/>
      </w:r>
      <w:r>
        <w:rPr>
          <w:rFonts w:cs="Times New Roman" w:ascii="Times New Roman" w:hAnsi="Times New Roman"/>
          <w:sz w:val="24"/>
          <w:szCs w:val="24"/>
          <w:vertAlign w:val="superscript"/>
        </w:rPr>
        <w:t>[3]</w:t>
      </w:r>
      <w:r>
        <w:rPr/>
      </w:r>
      <w:r>
        <w:rPr/>
        <w:fldChar w:fldCharType="end"/>
      </w:r>
      <w:bookmarkEnd w:id="4"/>
      <w:r>
        <w:rPr>
          <w:rFonts w:cs="Times New Roman" w:ascii="Times New Roman" w:hAnsi="Times New Roman"/>
          <w:sz w:val="24"/>
          <w:szCs w:val="24"/>
        </w:rPr>
        <w:t xml:space="preserve">. Alginate, hyaluronic acid (HA) and collagen derived materials have been investigated as scaffolds, particles and </w:t>
      </w:r>
      <w:r>
        <w:rPr>
          <w:rFonts w:cs="Times New Roman" w:ascii="Times New Roman" w:hAnsi="Times New Roman"/>
          <w:i/>
          <w:sz w:val="24"/>
          <w:szCs w:val="24"/>
        </w:rPr>
        <w:t>in situ</w:t>
      </w:r>
      <w:r>
        <w:rPr>
          <w:rFonts w:cs="Times New Roman" w:ascii="Times New Roman" w:hAnsi="Times New Roman"/>
          <w:sz w:val="24"/>
          <w:szCs w:val="24"/>
        </w:rPr>
        <w:t xml:space="preserve"> gelling hydrogels </w:t>
      </w:r>
      <w:r>
        <w:fldChar w:fldCharType="begin"/>
      </w:r>
      <w:r>
        <w:rPr/>
        <w:instrText>ADDIN EN.CITE &lt;EndNote&gt;&lt;Cite&gt;&lt;Author&gt;Amini&lt;/Author&gt;&lt;Year&gt;2012&lt;/Year&gt;&lt;RecNum&gt;4&lt;/RecNum&gt;&lt;DisplayText&gt;&lt;style face="superscript"&gt;[4]&lt;/style&gt;&lt;/DisplayText&gt;&lt;record&gt;&lt;rec-number&gt;4&lt;/rec-number&gt;&lt;foreign-keys&gt;&lt;key app="EN" db-id="wdds2t9tiwvf9mee0ac52ewfxse5dwxfx9ad" timestamp="1513894145"&gt;4&lt;/key&gt;&lt;/foreign-keys&gt;&lt;ref-type name="Journal Article"&gt;17&lt;/ref-type&gt;&lt;contributors&gt;&lt;authors&gt;&lt;author&gt;Amini, A. A.&lt;/author&gt;&lt;author&gt;Nair, L. S.&lt;/author&gt;&lt;/authors&gt;&lt;/contributors&gt;&lt;auth-address&gt;School of Dental Medicine, University of Connecticut Health Center Farmington, CT 06030, USA.&lt;/auth-address&gt;&lt;titles&gt;&lt;title&gt;Injectable hydrogels for bone and cartilage repair&lt;/title&gt;&lt;secondary-title&gt;Biomed Mater&lt;/secondary-title&gt;&lt;/titles&gt;&lt;pages&gt;024105&lt;/pages&gt;&lt;volume&gt;7&lt;/volume&gt;&lt;number&gt;2&lt;/number&gt;&lt;edition&gt;2012/03/30&lt;/edition&gt;&lt;keywords&gt;&lt;keyword&gt;Animals&lt;/keyword&gt;&lt;keyword&gt;Biocompatible Materials/administration &amp;amp; dosage&lt;/keyword&gt;&lt;keyword&gt;Fractures, Bone/*therapy&lt;/keyword&gt;&lt;keyword&gt;Fractures, Cartilage/*therapy&lt;/keyword&gt;&lt;keyword&gt;Gels/*administration &amp;amp; dosage&lt;/keyword&gt;&lt;keyword&gt;Guided Tissue Regeneration/*trends&lt;/keyword&gt;&lt;keyword&gt;Humans&lt;/keyword&gt;&lt;keyword&gt;Injections&lt;/keyword&gt;&lt;keyword&gt;Tissue Engineering/*trends&lt;/keyword&gt;&lt;keyword&gt;Tissue Scaffolds/*trends&lt;/keyword&gt;&lt;/keywords&gt;&lt;dates&gt;&lt;year&gt;2012&lt;/year&gt;&lt;pub-dates&gt;&lt;date&gt;Apr&lt;/date&gt;&lt;/pub-dates&gt;&lt;/dates&gt;&lt;isbn&gt;1748-605X (Electronic)&amp;#xD;1748-6041 (Linking)&lt;/isbn&gt;&lt;accession-num&gt;22456837&lt;/accession-num&gt;&lt;urls&gt;&lt;related-urls&gt;&lt;url&gt;http://www.ncbi.nlm.nih.gov/pubmed/22456837&lt;/url&gt;&lt;url&gt;http://iopscience.iop.org/article/10.1088/1748-6041/7/2/024105/meta&lt;/url&gt;&lt;url&gt;http://iopscience.iop.org/article/10.1088/1748-6041/7/2/024105/meta;jsessionid=BEB5C4F84130206FEA22D6D4E4BEB5AD.c4.iopscience.cld.iop.org&lt;/url&gt;&lt;/related-urls&gt;&lt;/urls&gt;&lt;electronic-resource-num&gt;10.1088/1748-6041/7/2/024105&lt;/electronic-resource-num&gt;&lt;language&gt;eng&lt;/language&gt;&lt;/record&gt;&lt;/Cite&gt;&lt;/EndNote&gt;</w:instrText>
      </w:r>
      <w:r>
        <w:rPr/>
        <w:fldChar w:fldCharType="separate"/>
      </w:r>
      <w:bookmarkStart w:id="5" w:name="__Fieldmark__257_1302293411"/>
      <w:r>
        <w:rPr/>
      </w:r>
      <w:r>
        <w:rPr>
          <w:rFonts w:cs="Times New Roman" w:ascii="Times New Roman" w:hAnsi="Times New Roman"/>
          <w:sz w:val="24"/>
          <w:szCs w:val="24"/>
          <w:vertAlign w:val="superscript"/>
        </w:rPr>
        <w:t>[4]</w:t>
      </w:r>
      <w:r>
        <w:rPr/>
      </w:r>
      <w:r>
        <w:rPr/>
        <w:fldChar w:fldCharType="end"/>
      </w:r>
      <w:bookmarkEnd w:id="5"/>
      <w:r>
        <w:rPr>
          <w:rFonts w:cs="Times New Roman" w:ascii="Times New Roman" w:hAnsi="Times New Roman"/>
          <w:sz w:val="24"/>
          <w:szCs w:val="24"/>
        </w:rPr>
        <w:t xml:space="preserve">. </w:t>
      </w:r>
    </w:p>
    <w:p>
      <w:pPr>
        <w:pStyle w:val="Normal"/>
        <w:spacing w:lineRule="auto" w:line="480"/>
        <w:jc w:val="both"/>
        <w:rPr/>
      </w:pPr>
      <w:r>
        <w:rPr>
          <w:rFonts w:cs="Times New Roman" w:ascii="Times New Roman" w:hAnsi="Times New Roman"/>
          <w:sz w:val="24"/>
          <w:szCs w:val="24"/>
        </w:rPr>
        <w:t xml:space="preserve">Materials can be combined with bone forming proteins such as bone morphogenetic protein 2 (BMP-2) to stimulate bone formation. BMP-2 is considered to be one of the most powerful osteoinductive factors and is the only bone morphogenetic protein (loaded in a collagen sponge) approved and currently used as a bone graft substitute </w:t>
      </w:r>
      <w:r>
        <w:fldChar w:fldCharType="begin"/>
      </w:r>
      <w:r>
        <w:rPr/>
        <w:instrText>ADDIN EN.CITE</w:instrText>
      </w:r>
      <w:r>
        <w:rPr/>
        <w:fldChar w:fldCharType="separate"/>
      </w:r>
      <w:bookmarkStart w:id="6" w:name="__Fieldmark__275_1302293411"/>
      <w:r>
        <w:rPr/>
      </w:r>
      <w:r>
        <w:rPr/>
      </w:r>
      <w:r>
        <w:rPr/>
        <w:fldChar w:fldCharType="end"/>
      </w:r>
      <w:r>
        <w:fldChar w:fldCharType="begin"/>
      </w:r>
      <w:r>
        <w:rPr/>
        <w:instrText>ADDIN EN.CITE.DATA</w:instrText>
      </w:r>
      <w:r>
        <w:rPr/>
        <w:fldChar w:fldCharType="separate"/>
      </w:r>
      <w:bookmarkStart w:id="7" w:name="__Fieldmark__274_1302293411"/>
      <w:bookmarkEnd w:id="6"/>
      <w:r>
        <w:rPr/>
      </w:r>
      <w:r>
        <w:rPr>
          <w:rFonts w:cs="Times New Roman" w:ascii="Times New Roman" w:hAnsi="Times New Roman"/>
          <w:sz w:val="24"/>
          <w:szCs w:val="24"/>
          <w:vertAlign w:val="superscript"/>
        </w:rPr>
        <w:t>[5]</w:t>
      </w:r>
      <w:r>
        <w:rPr/>
      </w:r>
      <w:r>
        <w:rPr/>
        <w:fldChar w:fldCharType="end"/>
      </w:r>
      <w:bookmarkEnd w:id="7"/>
      <w:r>
        <w:rPr>
          <w:rFonts w:cs="Times New Roman" w:ascii="Times New Roman" w:hAnsi="Times New Roman"/>
          <w:sz w:val="24"/>
          <w:szCs w:val="24"/>
        </w:rPr>
        <w:t xml:space="preserve">. However, large doses of BMP-2 are needed to produce a significant osteogenic effect </w:t>
      </w:r>
      <w:r>
        <w:fldChar w:fldCharType="begin"/>
      </w:r>
      <w:r>
        <w:rPr/>
        <w:instrText>ADDIN EN.CITE &lt;EndNote&gt;&lt;Cite&gt;&lt;Author&gt;Valentin-Opran&lt;/Author&gt;&lt;Year&gt;2002&lt;/Year&gt;&lt;RecNum&gt;7&lt;/RecNum&gt;&lt;DisplayText&gt;&lt;style face="superscript"&gt;[6]&lt;/style&gt;&lt;/DisplayText&gt;&lt;record&gt;&lt;rec-number&gt;7&lt;/rec-number&gt;&lt;foreign-keys&gt;&lt;key app="EN" db-id="wdds2t9tiwvf9mee0ac52ewfxse5dwxfx9ad" timestamp="1513894146"&gt;7&lt;/key&gt;&lt;/foreign-keys&gt;&lt;ref-type name="Journal Article"&gt;17&lt;/ref-type&gt;&lt;contributors&gt;&lt;authors&gt;&lt;author&gt;Valentin-Opran, A.&lt;/author&gt;&lt;author&gt;Wozney, J.&lt;/author&gt;&lt;author&gt;Csimma, C.&lt;/author&gt;&lt;author&gt;Lilly, L.&lt;/author&gt;&lt;author&gt;Riedel, G. E.&lt;/author&gt;&lt;/authors&gt;&lt;/contributors&gt;&lt;auth-address&gt;Genetics Institute, Cambridge, MA 02140, USA.&lt;/auth-address&gt;&lt;titles&gt;&lt;title&gt;Clinical evaluation of recombinant human bone morphogenetic protein-2&lt;/title&gt;&lt;secondary-title&gt;Clin Orthop Relat Res&lt;/secondary-title&gt;&lt;/titles&gt;&lt;pages&gt;110-20&lt;/pages&gt;&lt;number&gt;395&lt;/number&gt;&lt;keywords&gt;&lt;keyword&gt;Animals&lt;/keyword&gt;&lt;keyword&gt;Bone Morphogenetic Protein 2&lt;/keyword&gt;&lt;keyword&gt;Bone Morphogenetic Proteins/administration &amp;amp;&lt;/keyword&gt;&lt;keyword&gt;dosage/pharmacokinetics/*pharmacology/physiology/therapeutic use&lt;/keyword&gt;&lt;keyword&gt;Clinical Trials as Topic&lt;/keyword&gt;&lt;keyword&gt;Disease Progression&lt;/keyword&gt;&lt;keyword&gt;Dose-Response Relationship, Drug&lt;/keyword&gt;&lt;keyword&gt;Fracture Healing/physiology&lt;/keyword&gt;&lt;keyword&gt;Fractures, Open/drug therapy&lt;/keyword&gt;&lt;keyword&gt;Humans&lt;/keyword&gt;&lt;keyword&gt;Osteogenesis, Distraction&lt;/keyword&gt;&lt;keyword&gt;Osteonecrosis/drug therapy&lt;/keyword&gt;&lt;keyword&gt;Recombinant Proteins/administration &amp;amp; dosage/pharmacology/therapeutic use&lt;/keyword&gt;&lt;keyword&gt;Tibial Fractures/drug therapy&lt;/keyword&gt;&lt;keyword&gt;Transforming Growth Factor beta/administration &amp;amp;&lt;/keyword&gt;&lt;keyword&gt;dosage/pharmacokinetics/*pharmacology&lt;/keyword&gt;&lt;keyword&gt;Treatment Outcome&lt;/keyword&gt;&lt;/keywords&gt;&lt;dates&gt;&lt;year&gt;2002&lt;/year&gt;&lt;pub-dates&gt;&lt;date&gt;Feb&lt;/date&gt;&lt;/pub-dates&gt;&lt;/dates&gt;&lt;isbn&gt;0009-921X (Print)&amp;#xD;0009-921X (Linking)&lt;/isbn&gt;&lt;accession-num&gt;11937870&lt;/accession-num&gt;&lt;urls&gt;&lt;related-urls&gt;&lt;url&gt;https://www.ncbi.nlm.nih.gov/pubmed/11937870&lt;/url&gt;&lt;/related-urls&gt;&lt;/urls&gt;&lt;/record&gt;&lt;/Cite&gt;&lt;/EndNote&gt;</w:instrText>
      </w:r>
      <w:r>
        <w:rPr/>
        <w:fldChar w:fldCharType="separate"/>
      </w:r>
      <w:bookmarkStart w:id="8" w:name="__Fieldmark__281_1302293411"/>
      <w:r>
        <w:rPr/>
      </w:r>
      <w:r>
        <w:rPr>
          <w:rFonts w:cs="Times New Roman" w:ascii="Times New Roman" w:hAnsi="Times New Roman"/>
          <w:sz w:val="24"/>
          <w:szCs w:val="24"/>
          <w:vertAlign w:val="superscript"/>
        </w:rPr>
        <w:t>[6]</w:t>
      </w:r>
      <w:r>
        <w:rPr/>
      </w:r>
      <w:r>
        <w:rPr/>
        <w:fldChar w:fldCharType="end"/>
      </w:r>
      <w:bookmarkEnd w:id="8"/>
      <w:r>
        <w:rPr>
          <w:rFonts w:cs="Times New Roman" w:ascii="Times New Roman" w:hAnsi="Times New Roman"/>
          <w:sz w:val="24"/>
          <w:szCs w:val="24"/>
        </w:rPr>
        <w:t xml:space="preserve">. The major reason for this is the burst-release of the protein from the collagen sponge. Half of the BMP-2 was released in the first two days </w:t>
      </w:r>
      <w:r>
        <w:rPr>
          <w:rFonts w:cs="Times New Roman" w:ascii="Times New Roman" w:hAnsi="Times New Roman"/>
          <w:i/>
          <w:sz w:val="24"/>
          <w:szCs w:val="24"/>
        </w:rPr>
        <w:t>in vivo</w:t>
      </w:r>
      <w:r>
        <w:rPr>
          <w:rFonts w:cs="Times New Roman" w:ascii="Times New Roman" w:hAnsi="Times New Roman"/>
          <w:sz w:val="24"/>
          <w:szCs w:val="24"/>
        </w:rPr>
        <w:t xml:space="preserve"> in a rabbit ulna osteotomy model </w:t>
      </w:r>
      <w:r>
        <w:fldChar w:fldCharType="begin"/>
      </w:r>
      <w:r>
        <w:rPr/>
        <w:instrText>ADDIN EN.CITE &lt;EndNote&gt;&lt;Cite&gt;&lt;Author&gt;Li&lt;/Author&gt;&lt;Year&gt;2001&lt;/Year&gt;&lt;RecNum&gt;8&lt;/RecNum&gt;&lt;DisplayText&gt;&lt;style face="superscript"&gt;[7]&lt;/style&gt;&lt;/DisplayText&gt;&lt;record&gt;&lt;rec-number&gt;8&lt;/rec-number&gt;&lt;foreign-keys&gt;&lt;key app="EN" db-id="wdds2t9tiwvf9mee0ac52ewfxse5dwxfx9ad" timestamp="1513894146"&gt;8&lt;/key&gt;&lt;/foreign-keys&gt;&lt;ref-type name="Journal Article"&gt;17&lt;/ref-type&gt;&lt;contributors&gt;&lt;authors&gt;&lt;author&gt;Li, R. H.&lt;/author&gt;&lt;author&gt;Wozney, J. M.&lt;/author&gt;&lt;/authors&gt;&lt;/contributors&gt;&lt;auth-address&gt;Genetics Institute, 1 Burtt Road, 01810, Andover, MA, USA. rli@genetics.com&lt;/auth-address&gt;&lt;titles&gt;&lt;title&gt;Delivering on the promise of bone morphogenetic proteins&lt;/title&gt;&lt;secondary-title&gt;Trends Biotechnol&lt;/secondary-title&gt;&lt;/titles&gt;&lt;periodical&gt;&lt;full-title&gt;Trends in Biotechnology&lt;/full-title&gt;&lt;abbr-1&gt;Trends Biotechnol.&lt;/abbr-1&gt;&lt;abbr-2&gt;Trends Biotechnol&lt;/abbr-2&gt;&lt;/periodical&gt;&lt;pages&gt;255-65&lt;/pages&gt;&lt;volume&gt;19&lt;/volume&gt;&lt;number&gt;7&lt;/number&gt;&lt;keywords&gt;&lt;keyword&gt;Animals&lt;/keyword&gt;&lt;keyword&gt;Bone Density/drug effects/genetics&lt;/keyword&gt;&lt;keyword&gt;Bone Morphogenetic Proteins/*administration &amp;amp; dosage/genetics/*therapeutic use&lt;/keyword&gt;&lt;keyword&gt;Drug Delivery Systems/*trends&lt;/keyword&gt;&lt;keyword&gt;Genetic Therapy/trends&lt;/keyword&gt;&lt;keyword&gt;Humans&lt;/keyword&gt;&lt;/keywords&gt;&lt;dates&gt;&lt;year&gt;2001&lt;/year&gt;&lt;pub-dates&gt;&lt;date&gt;Jul&lt;/date&gt;&lt;/pub-dates&gt;&lt;/dates&gt;&lt;isbn&gt;0167-7799 (Print)&amp;#xD;0167-7799 (Linking)&lt;/isbn&gt;&lt;accession-num&gt;11412949&lt;/accession-num&gt;&lt;urls&gt;&lt;related-urls&gt;&lt;url&gt;https://www.ncbi.nlm.nih.gov/pubmed/11412949&lt;/url&gt;&lt;/related-urls&gt;&lt;/urls&gt;&lt;/record&gt;&lt;/Cite&gt;&lt;/EndNote&gt;</w:instrText>
      </w:r>
      <w:r>
        <w:rPr/>
        <w:fldChar w:fldCharType="separate"/>
      </w:r>
      <w:bookmarkStart w:id="9" w:name="__Fieldmark__290_1302293411"/>
      <w:r>
        <w:rPr/>
      </w:r>
      <w:r>
        <w:rPr>
          <w:rFonts w:cs="Times New Roman" w:ascii="Times New Roman" w:hAnsi="Times New Roman"/>
          <w:sz w:val="24"/>
          <w:szCs w:val="24"/>
          <w:vertAlign w:val="superscript"/>
        </w:rPr>
        <w:t>[7]</w:t>
      </w:r>
      <w:r>
        <w:rPr/>
      </w:r>
      <w:r>
        <w:rPr/>
        <w:fldChar w:fldCharType="end"/>
      </w:r>
      <w:bookmarkEnd w:id="9"/>
      <w:r>
        <w:rPr>
          <w:rFonts w:cs="Times New Roman" w:ascii="Times New Roman" w:hAnsi="Times New Roman"/>
          <w:sz w:val="24"/>
          <w:szCs w:val="24"/>
        </w:rPr>
        <w:t xml:space="preserve">. This often results in undesired ectopic bone formation, soft tissue swelling and bone resorption </w:t>
      </w:r>
      <w:r>
        <w:fldChar w:fldCharType="begin"/>
      </w:r>
      <w:r>
        <w:rPr/>
        <w:instrText>ADDIN EN.CITE</w:instrText>
      </w:r>
      <w:r>
        <w:rPr/>
        <w:fldChar w:fldCharType="separate"/>
      </w:r>
      <w:bookmarkStart w:id="10" w:name="__Fieldmark__300_1302293411"/>
      <w:r>
        <w:rPr/>
      </w:r>
      <w:r>
        <w:rPr/>
      </w:r>
      <w:r>
        <w:rPr/>
        <w:fldChar w:fldCharType="end"/>
      </w:r>
      <w:r>
        <w:fldChar w:fldCharType="begin"/>
      </w:r>
      <w:r>
        <w:rPr/>
        <w:instrText>ADDIN EN.CITE.DATA</w:instrText>
      </w:r>
      <w:r>
        <w:rPr/>
        <w:fldChar w:fldCharType="separate"/>
      </w:r>
      <w:bookmarkStart w:id="11" w:name="__Fieldmark__299_1302293411"/>
      <w:bookmarkEnd w:id="10"/>
      <w:r>
        <w:rPr/>
      </w:r>
      <w:r>
        <w:rPr>
          <w:rFonts w:cs="Times New Roman" w:ascii="Times New Roman" w:hAnsi="Times New Roman"/>
          <w:sz w:val="24"/>
          <w:szCs w:val="24"/>
          <w:vertAlign w:val="superscript"/>
        </w:rPr>
        <w:t>[8]</w:t>
      </w:r>
      <w:r>
        <w:rPr/>
      </w:r>
      <w:r>
        <w:rPr/>
        <w:fldChar w:fldCharType="end"/>
      </w:r>
      <w:bookmarkEnd w:id="11"/>
      <w:r>
        <w:rPr>
          <w:rFonts w:cs="Times New Roman" w:ascii="Times New Roman" w:hAnsi="Times New Roman"/>
          <w:sz w:val="24"/>
          <w:szCs w:val="24"/>
        </w:rPr>
        <w:t xml:space="preserve">. Therefore, a biomaterial that can provide a slower protein release may perform better in clinics, eliminating adverse effects. There are several challenges for developing a suitable protein carrier material </w:t>
      </w:r>
      <w:r>
        <w:fldChar w:fldCharType="begin"/>
      </w:r>
      <w:r>
        <w:rPr/>
        <w:instrText>ADDIN EN.CITE &lt;EndNote&gt;&lt;Cite&gt;&lt;Author&gt;Agrawal&lt;/Author&gt;&lt;Year&gt;2016&lt;/Year&gt;&lt;RecNum&gt;10&lt;/RecNum&gt;&lt;DisplayText&gt;&lt;style face="superscript"&gt;[9]&lt;/style&gt;&lt;/DisplayText&gt;&lt;record&gt;&lt;rec-number&gt;10&lt;/rec-number&gt;&lt;foreign-keys&gt;&lt;key app="EN" db-id="wdds2t9tiwvf9mee0ac52ewfxse5dwxfx9ad" timestamp="1513894146"&gt;10&lt;/key&gt;&lt;/foreign-keys&gt;&lt;ref-type name="Journal Article"&gt;17&lt;/ref-type&gt;&lt;contributors&gt;&lt;authors&gt;&lt;author&gt;Agrawal, V.&lt;/author&gt;&lt;author&gt;Sinha, M.&lt;/author&gt;&lt;/authors&gt;&lt;/contributors&gt;&lt;auth-address&gt;Department of Medical Devices, National Institute of Pharmaceutical Education and Research-Ahmedabad, Ahmedabad-, 380054, India.&lt;/auth-address&gt;&lt;titles&gt;&lt;title&gt;A review on carrier systems for bone morphogenetic protein-2&lt;/title&gt;&lt;secondary-title&gt;J Biomed Mater Res B Appl Biomater&lt;/secondary-title&gt;&lt;/titles&gt;&lt;edition&gt;2016/01/06&lt;/edition&gt;&lt;dates&gt;&lt;year&gt;2016&lt;/year&gt;&lt;pub-dates&gt;&lt;date&gt;Jan 5&lt;/date&gt;&lt;/pub-dates&gt;&lt;/dates&gt;&lt;isbn&gt;1552-4981 (Electronic)&amp;#xD;1552-4973 (Linking)&lt;/isbn&gt;&lt;accession-num&gt;26728994&lt;/accession-num&gt;&lt;urls&gt;&lt;related-urls&gt;&lt;url&gt;http://www.ncbi.nlm.nih.gov/pubmed/26728994&lt;/url&gt;&lt;url&gt;http://onlinelibrary.wiley.com/store/10.1002/jbm.b.33599/asset/jbmb33599.pdf?v=1&amp;amp;t=ilhy6pha&amp;amp;s=7658cd5039d77710257d1292a692de76928207e2&lt;/url&gt;&lt;url&gt;http://onlinelibrary.wiley.com/store/10.1002/jbm.b.33599/asset/jbmb33599.pdf?v=1&amp;amp;t=isiub0l5&amp;amp;s=49a58f24d0a132d5b597ce43adca4adb86055109&lt;/url&gt;&lt;url&gt;https://onlinelibrary.wiley.com/doi/abs/10.1002/jbm.b.33599&lt;/url&gt;&lt;/related-urls&gt;&lt;/urls&gt;&lt;electronic-resource-num&gt;10.1002/jbm.b.33599&lt;/electronic-resource-num&gt;&lt;language&gt;Eng&lt;/language&gt;&lt;/record&gt;&lt;/Cite&gt;&lt;/EndNote&gt;</w:instrText>
      </w:r>
      <w:r>
        <w:rPr/>
        <w:fldChar w:fldCharType="separate"/>
      </w:r>
      <w:bookmarkStart w:id="12" w:name="__Fieldmark__316_1302293411"/>
      <w:r>
        <w:rPr/>
      </w:r>
      <w:r>
        <w:rPr>
          <w:rFonts w:cs="Times New Roman" w:ascii="Times New Roman" w:hAnsi="Times New Roman"/>
          <w:sz w:val="24"/>
          <w:szCs w:val="24"/>
          <w:vertAlign w:val="superscript"/>
        </w:rPr>
        <w:t>[9]</w:t>
      </w:r>
      <w:r>
        <w:rPr/>
      </w:r>
      <w:r>
        <w:rPr/>
        <w:fldChar w:fldCharType="end"/>
      </w:r>
      <w:bookmarkEnd w:id="12"/>
      <w:r>
        <w:rPr>
          <w:rFonts w:cs="Times New Roman" w:ascii="Times New Roman" w:hAnsi="Times New Roman"/>
          <w:sz w:val="24"/>
          <w:szCs w:val="24"/>
        </w:rPr>
        <w:t xml:space="preserve">. It should promote the recruitment of skeletal and endothelial progenitor cells and trigger their differentiation to mature osteoblasts and endothelial cells with a minimum amount of loaded protein. </w:t>
      </w:r>
    </w:p>
    <w:p>
      <w:pPr>
        <w:pStyle w:val="Normal"/>
        <w:spacing w:lineRule="auto" w:line="480"/>
        <w:jc w:val="both"/>
        <w:rPr/>
      </w:pPr>
      <w:r>
        <w:rPr>
          <w:rFonts w:cs="Times New Roman" w:ascii="Times New Roman" w:hAnsi="Times New Roman"/>
          <w:sz w:val="24"/>
          <w:szCs w:val="24"/>
        </w:rPr>
        <w:t xml:space="preserve">Recombinant collagen-like peptide (RCP) material and its use for tissue engineering have been investigated by several studies, showing an optimum pore size and porosity for osteoconduction and high cell viability </w:t>
      </w:r>
      <w:r>
        <w:fldChar w:fldCharType="begin"/>
      </w:r>
      <w:r>
        <w:rPr/>
        <w:instrText>ADDIN EN.CITE</w:instrText>
      </w:r>
      <w:r>
        <w:rPr/>
        <w:fldChar w:fldCharType="separate"/>
      </w:r>
      <w:bookmarkStart w:id="13" w:name="__Fieldmark__339_1302293411"/>
      <w:r>
        <w:rPr/>
      </w:r>
      <w:r>
        <w:rPr/>
      </w:r>
      <w:r>
        <w:rPr/>
        <w:fldChar w:fldCharType="end"/>
      </w:r>
      <w:r>
        <w:fldChar w:fldCharType="begin"/>
      </w:r>
      <w:r>
        <w:rPr/>
        <w:instrText>ADDIN EN.CITE.DATA</w:instrText>
      </w:r>
      <w:r>
        <w:rPr/>
        <w:fldChar w:fldCharType="separate"/>
      </w:r>
      <w:bookmarkStart w:id="14" w:name="__Fieldmark__338_1302293411"/>
      <w:bookmarkEnd w:id="13"/>
      <w:r>
        <w:rPr/>
      </w:r>
      <w:r>
        <w:rPr>
          <w:rFonts w:cs="Times New Roman" w:ascii="Times New Roman" w:hAnsi="Times New Roman"/>
          <w:sz w:val="24"/>
          <w:szCs w:val="24"/>
          <w:vertAlign w:val="superscript"/>
        </w:rPr>
        <w:t>[10]</w:t>
      </w:r>
      <w:r>
        <w:rPr/>
      </w:r>
      <w:r>
        <w:rPr/>
        <w:fldChar w:fldCharType="end"/>
      </w:r>
      <w:bookmarkEnd w:id="14"/>
      <w:r>
        <w:rPr>
          <w:rFonts w:cs="Times New Roman" w:ascii="Times New Roman" w:hAnsi="Times New Roman"/>
          <w:sz w:val="24"/>
          <w:szCs w:val="24"/>
        </w:rPr>
        <w:t xml:space="preserve">. RCP does not only facilitate the cell attachment by its arginylglycylaspartic acid (RGD) rich peptide sequence </w:t>
      </w:r>
      <w:r>
        <w:fldChar w:fldCharType="begin"/>
      </w:r>
      <w:r>
        <w:rPr/>
        <w:instrText>ADDIN EN.CITE</w:instrText>
      </w:r>
      <w:r>
        <w:rPr/>
        <w:fldChar w:fldCharType="separate"/>
      </w:r>
      <w:bookmarkStart w:id="15" w:name="__Fieldmark__349_1302293411"/>
      <w:r>
        <w:rPr/>
      </w:r>
      <w:r>
        <w:rPr/>
      </w:r>
      <w:r>
        <w:rPr/>
        <w:fldChar w:fldCharType="end"/>
      </w:r>
      <w:r>
        <w:fldChar w:fldCharType="begin"/>
      </w:r>
      <w:r>
        <w:rPr/>
        <w:instrText>ADDIN EN.CITE.DATA</w:instrText>
      </w:r>
      <w:r>
        <w:rPr/>
        <w:fldChar w:fldCharType="separate"/>
      </w:r>
      <w:bookmarkStart w:id="16" w:name="__Fieldmark__348_1302293411"/>
      <w:bookmarkEnd w:id="15"/>
      <w:r>
        <w:rPr/>
      </w:r>
      <w:r>
        <w:rPr>
          <w:rFonts w:cs="Times New Roman" w:ascii="Times New Roman" w:hAnsi="Times New Roman"/>
          <w:sz w:val="24"/>
          <w:szCs w:val="24"/>
          <w:vertAlign w:val="superscript"/>
        </w:rPr>
        <w:t>[10a]</w:t>
      </w:r>
      <w:r>
        <w:rPr/>
      </w:r>
      <w:r>
        <w:rPr/>
        <w:fldChar w:fldCharType="end"/>
      </w:r>
      <w:bookmarkEnd w:id="16"/>
      <w:r>
        <w:rPr>
          <w:rFonts w:cs="Times New Roman" w:ascii="Times New Roman" w:hAnsi="Times New Roman"/>
          <w:sz w:val="24"/>
          <w:szCs w:val="24"/>
        </w:rPr>
        <w:t xml:space="preserve"> but can also be expected to decrease the risk of immune reaction due to its animal free origin compared to other collagen based products. In fact, RCP is produced under good manufacturing process (GMP) conditions within the facilities of Fujifilm and is currently used in phase 1 clinical trials. The use of RGD rich microspheres comprised of RCP (RCP-MS) for the stimulation of cell attachment is very important when using materials where cell attachment is suboptimal, such as alginates and HA. We have previously investigatedthe use of recombinant collagen-like peptide microspheres for slow release of BMP-2. In that study, we optimized the water uptake in the RCP-MS for BMP-2-loading. Particle size before and after swelling was also assessed by rheology, showing a similar storage and loss modulus, which indicated that the material was not degraded. Therefore, RCP-MS were intact for 2 weeks in cell culture medium and were only degraded when collagenase treatment was applied </w:t>
      </w:r>
      <w:r>
        <w:fldChar w:fldCharType="begin"/>
      </w:r>
      <w:r>
        <w:rPr/>
        <w:instrText>ADDIN EN.CITE</w:instrText>
      </w:r>
      <w:r>
        <w:rPr/>
        <w:fldChar w:fldCharType="separate"/>
      </w:r>
      <w:bookmarkStart w:id="17" w:name="__Fieldmark__405_1302293411"/>
      <w:r>
        <w:rPr/>
      </w:r>
      <w:r>
        <w:rPr/>
      </w:r>
      <w:r>
        <w:rPr/>
        <w:fldChar w:fldCharType="end"/>
      </w:r>
      <w:r>
        <w:fldChar w:fldCharType="begin"/>
      </w:r>
      <w:r>
        <w:rPr/>
        <w:instrText>ADDIN EN.CITE.DATA</w:instrText>
      </w:r>
      <w:r>
        <w:rPr/>
        <w:fldChar w:fldCharType="separate"/>
      </w:r>
      <w:bookmarkStart w:id="18" w:name="__Fieldmark__404_1302293411"/>
      <w:bookmarkEnd w:id="17"/>
      <w:r>
        <w:rPr/>
      </w:r>
      <w:r>
        <w:rPr>
          <w:rFonts w:cs="Times New Roman" w:ascii="Times New Roman" w:hAnsi="Times New Roman"/>
          <w:sz w:val="24"/>
          <w:szCs w:val="24"/>
          <w:vertAlign w:val="superscript"/>
        </w:rPr>
        <w:t>[10c]</w:t>
      </w:r>
      <w:r>
        <w:rPr/>
      </w:r>
      <w:r>
        <w:rPr/>
        <w:fldChar w:fldCharType="end"/>
      </w:r>
      <w:bookmarkEnd w:id="18"/>
      <w:r>
        <w:rPr>
          <w:rFonts w:cs="Times New Roman" w:ascii="Times New Roman" w:hAnsi="Times New Roman"/>
          <w:sz w:val="24"/>
          <w:szCs w:val="24"/>
        </w:rPr>
        <w:t xml:space="preserve">. In light of these results, here we aim to develop and test 3 </w:t>
      </w:r>
      <w:r>
        <w:rPr>
          <w:rFonts w:cs="Times New Roman" w:ascii="Times New Roman" w:hAnsi="Times New Roman"/>
          <w:i/>
          <w:sz w:val="24"/>
          <w:szCs w:val="24"/>
        </w:rPr>
        <w:t>in situ</w:t>
      </w:r>
      <w:r>
        <w:rPr>
          <w:rFonts w:cs="Times New Roman" w:ascii="Times New Roman" w:hAnsi="Times New Roman"/>
          <w:sz w:val="24"/>
          <w:szCs w:val="24"/>
        </w:rPr>
        <w:t xml:space="preserve"> gelling formulations, based on alginate and hyaluronic acid to retain BMP-2 releasing microspheres, resulting in slow localized growth factor release.</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In a search for an injectable hydrogel system to deliver BMP-2 carrying RCP-MS, we have investigated two potential systems: one system that could be crosslinked and form a network in the presence of ions, and another system that could change conformation with a temperature switch. These two systems were alginate and PNIPAAM (poly(N-isopropylacrylamide) modified hyaluronic acid (HApN) respectively, both widely used in bone tissue engineering. </w:t>
      </w:r>
    </w:p>
    <w:p>
      <w:pPr>
        <w:pStyle w:val="Normal"/>
        <w:spacing w:lineRule="auto" w:line="480"/>
        <w:jc w:val="both"/>
        <w:rPr/>
      </w:pPr>
      <w:r>
        <w:rPr>
          <w:rFonts w:cs="Times New Roman" w:ascii="Times New Roman" w:hAnsi="Times New Roman"/>
          <w:sz w:val="24"/>
          <w:szCs w:val="24"/>
        </w:rPr>
        <w:t xml:space="preserve">Alginate is a polysaccharide composed of β-D-mannuronic acid (M-block) and α-L-guluronic acid (G-block) monomers. Several studies have demonstrated the potential of this hydrogel for bone tissue engineering </w:t>
      </w:r>
      <w:r>
        <w:fldChar w:fldCharType="begin"/>
      </w:r>
      <w:r>
        <w:rPr/>
        <w:instrText>ADDIN EN.CITE</w:instrText>
      </w:r>
      <w:r>
        <w:rPr/>
        <w:fldChar w:fldCharType="separate"/>
      </w:r>
      <w:bookmarkStart w:id="19" w:name="__Fieldmark__452_1302293411"/>
      <w:r>
        <w:rPr/>
      </w:r>
      <w:r>
        <w:rPr/>
      </w:r>
      <w:r>
        <w:rPr/>
        <w:fldChar w:fldCharType="end"/>
      </w:r>
      <w:r>
        <w:fldChar w:fldCharType="begin"/>
      </w:r>
      <w:r>
        <w:rPr/>
        <w:instrText>ADDIN EN.CITE.DATA</w:instrText>
      </w:r>
      <w:r>
        <w:rPr/>
        <w:fldChar w:fldCharType="separate"/>
      </w:r>
      <w:bookmarkStart w:id="20" w:name="__Fieldmark__451_1302293411"/>
      <w:bookmarkEnd w:id="19"/>
      <w:r>
        <w:rPr/>
      </w:r>
      <w:r>
        <w:rPr>
          <w:rFonts w:cs="Times New Roman" w:ascii="Times New Roman" w:hAnsi="Times New Roman"/>
          <w:sz w:val="24"/>
          <w:szCs w:val="24"/>
          <w:vertAlign w:val="superscript"/>
        </w:rPr>
        <w:t>[11]</w:t>
      </w:r>
      <w:r>
        <w:rPr/>
      </w:r>
      <w:r>
        <w:rPr/>
        <w:fldChar w:fldCharType="end"/>
      </w:r>
      <w:bookmarkEnd w:id="20"/>
      <w:r>
        <w:rPr>
          <w:rFonts w:cs="Times New Roman" w:ascii="Times New Roman" w:hAnsi="Times New Roman"/>
          <w:sz w:val="24"/>
          <w:szCs w:val="24"/>
        </w:rPr>
        <w:t>. Mineralization of alginate has also been characterized by Raman spectroscopy</w:t>
      </w:r>
      <w:r>
        <w:rPr>
          <w:sz w:val="24"/>
          <w:szCs w:val="24"/>
        </w:rPr>
        <w:t xml:space="preserve"> </w:t>
      </w:r>
      <w:r>
        <w:fldChar w:fldCharType="begin"/>
      </w:r>
      <w:r>
        <w:rPr/>
        <w:instrText>ADDIN EN.CITE</w:instrText>
      </w:r>
      <w:r>
        <w:rPr/>
        <w:fldChar w:fldCharType="separate"/>
      </w:r>
      <w:bookmarkStart w:id="21" w:name="__Fieldmark__465_1302293411"/>
      <w:r>
        <w:rPr/>
      </w:r>
      <w:r>
        <w:rPr/>
      </w:r>
      <w:r>
        <w:rPr/>
        <w:fldChar w:fldCharType="end"/>
      </w:r>
      <w:r>
        <w:fldChar w:fldCharType="begin"/>
      </w:r>
      <w:r>
        <w:rPr/>
        <w:instrText>ADDIN EN.CITE.DATA</w:instrText>
      </w:r>
      <w:r>
        <w:rPr/>
        <w:fldChar w:fldCharType="separate"/>
      </w:r>
      <w:bookmarkStart w:id="22" w:name="__Fieldmark__464_1302293411"/>
      <w:bookmarkEnd w:id="21"/>
      <w:r>
        <w:rPr/>
      </w:r>
      <w:r>
        <w:rPr>
          <w:sz w:val="24"/>
          <w:szCs w:val="24"/>
          <w:vertAlign w:val="superscript"/>
        </w:rPr>
        <w:t>[12]</w:t>
      </w:r>
      <w:r>
        <w:rPr/>
      </w:r>
      <w:r>
        <w:rPr/>
        <w:fldChar w:fldCharType="end"/>
      </w:r>
      <w:bookmarkEnd w:id="22"/>
      <w:r>
        <w:rPr>
          <w:rFonts w:cs="Times New Roman" w:ascii="Times New Roman" w:hAnsi="Times New Roman"/>
          <w:sz w:val="24"/>
          <w:szCs w:val="24"/>
        </w:rPr>
        <w:t>. Alginate</w:t>
      </w:r>
      <w:r>
        <w:rPr>
          <w:rFonts w:cs="Times New Roman" w:ascii="Times New Roman" w:hAnsi="Times New Roman"/>
          <w:i/>
          <w:sz w:val="24"/>
          <w:szCs w:val="24"/>
        </w:rPr>
        <w:t xml:space="preserve"> in situ</w:t>
      </w:r>
      <w:r>
        <w:rPr>
          <w:rFonts w:cs="Times New Roman" w:ascii="Times New Roman" w:hAnsi="Times New Roman"/>
          <w:sz w:val="24"/>
          <w:szCs w:val="24"/>
        </w:rPr>
        <w:t xml:space="preserve"> gelling formulations have been developed in combination with particles and </w:t>
      </w:r>
      <w:r>
        <w:rPr>
          <w:rFonts w:cs="Times New Roman" w:ascii="Times New Roman" w:hAnsi="Times New Roman"/>
          <w:i/>
          <w:sz w:val="24"/>
          <w:szCs w:val="24"/>
        </w:rPr>
        <w:t xml:space="preserve">in vitro </w:t>
      </w:r>
      <w:r>
        <w:rPr>
          <w:rFonts w:cs="Times New Roman" w:ascii="Times New Roman" w:hAnsi="Times New Roman"/>
          <w:sz w:val="24"/>
          <w:szCs w:val="24"/>
        </w:rPr>
        <w:t xml:space="preserve">experiments showed the potential of the formulations for drug delivery </w:t>
      </w:r>
      <w:r>
        <w:fldChar w:fldCharType="begin"/>
      </w:r>
      <w:r>
        <w:rPr/>
        <w:instrText>ADDIN EN.CITE</w:instrText>
      </w:r>
      <w:r>
        <w:rPr/>
        <w:fldChar w:fldCharType="separate"/>
      </w:r>
      <w:bookmarkStart w:id="23" w:name="__Fieldmark__480_1302293411"/>
      <w:r>
        <w:rPr/>
      </w:r>
      <w:r>
        <w:rPr/>
      </w:r>
      <w:r>
        <w:rPr/>
        <w:fldChar w:fldCharType="end"/>
      </w:r>
      <w:r>
        <w:fldChar w:fldCharType="begin"/>
      </w:r>
      <w:r>
        <w:rPr/>
        <w:instrText>ADDIN EN.CITE.DATA</w:instrText>
      </w:r>
      <w:r>
        <w:rPr/>
        <w:fldChar w:fldCharType="separate"/>
      </w:r>
      <w:bookmarkStart w:id="24" w:name="__Fieldmark__479_1302293411"/>
      <w:bookmarkEnd w:id="23"/>
      <w:r>
        <w:rPr/>
      </w:r>
      <w:r>
        <w:rPr>
          <w:rFonts w:cs="Times New Roman" w:ascii="Times New Roman" w:hAnsi="Times New Roman"/>
          <w:sz w:val="24"/>
          <w:szCs w:val="24"/>
          <w:vertAlign w:val="superscript"/>
        </w:rPr>
        <w:t>[13]</w:t>
      </w:r>
      <w:r>
        <w:rPr/>
      </w:r>
      <w:r>
        <w:rPr/>
        <w:fldChar w:fldCharType="end"/>
      </w:r>
      <w:bookmarkEnd w:id="24"/>
      <w:r>
        <w:rPr>
          <w:rFonts w:cs="Times New Roman" w:ascii="Times New Roman" w:hAnsi="Times New Roman"/>
          <w:sz w:val="24"/>
          <w:szCs w:val="24"/>
        </w:rPr>
        <w:t>. Previously, alginate hydrogel with gelatin microspheres loaded with BMP-2 was used to study osteogenesis</w:t>
      </w:r>
      <w:r>
        <w:rPr>
          <w:rFonts w:cs="Times New Roman" w:ascii="Times New Roman" w:hAnsi="Times New Roman"/>
          <w:i/>
          <w:sz w:val="24"/>
          <w:szCs w:val="24"/>
        </w:rPr>
        <w:t xml:space="preserve"> in vivo</w:t>
      </w:r>
      <w:r>
        <w:rPr>
          <w:rFonts w:cs="Times New Roman" w:ascii="Times New Roman" w:hAnsi="Times New Roman"/>
          <w:sz w:val="24"/>
          <w:szCs w:val="24"/>
        </w:rPr>
        <w:t xml:space="preserve">. However, the formulations could not induce bone formation probably due to fast degradation of material; and only after addition of biphasic calcium phosphate granules, was the bone formation achieved </w:t>
      </w:r>
      <w:r>
        <w:fldChar w:fldCharType="begin"/>
      </w:r>
      <w:r>
        <w:rPr/>
        <w:instrText>ADDIN EN.CITE</w:instrText>
      </w:r>
      <w:r>
        <w:rPr/>
        <w:fldChar w:fldCharType="separate"/>
      </w:r>
      <w:bookmarkStart w:id="25" w:name="__Fieldmark__501_1302293411"/>
      <w:r>
        <w:rPr/>
      </w:r>
      <w:r>
        <w:rPr/>
      </w:r>
      <w:r>
        <w:rPr/>
        <w:fldChar w:fldCharType="end"/>
      </w:r>
      <w:r>
        <w:fldChar w:fldCharType="begin"/>
      </w:r>
      <w:r>
        <w:rPr/>
        <w:instrText>ADDIN EN.CITE.DATA</w:instrText>
      </w:r>
      <w:r>
        <w:rPr/>
        <w:fldChar w:fldCharType="separate"/>
      </w:r>
      <w:bookmarkStart w:id="26" w:name="__Fieldmark__500_1302293411"/>
      <w:bookmarkEnd w:id="25"/>
      <w:r>
        <w:rPr/>
      </w:r>
      <w:r>
        <w:rPr>
          <w:rFonts w:cs="Times New Roman" w:ascii="Times New Roman" w:hAnsi="Times New Roman"/>
          <w:sz w:val="24"/>
          <w:szCs w:val="24"/>
          <w:vertAlign w:val="superscript"/>
        </w:rPr>
        <w:t>[14]</w:t>
      </w:r>
      <w:r>
        <w:rPr/>
      </w:r>
      <w:r>
        <w:rPr/>
        <w:fldChar w:fldCharType="end"/>
      </w:r>
      <w:bookmarkEnd w:id="26"/>
      <w:r>
        <w:rPr>
          <w:rFonts w:cs="Times New Roman" w:ascii="Times New Roman" w:hAnsi="Times New Roman"/>
          <w:sz w:val="24"/>
          <w:szCs w:val="24"/>
        </w:rPr>
        <w:t xml:space="preserve">. There are various types of alginate and it is known that the composition (guluronic acid/mannuronic acid ratio), and molecular weight among others are critical factors affecting the physical properties of the resultant hydrogels, such as the degradation behavior </w:t>
      </w:r>
      <w:r>
        <w:fldChar w:fldCharType="begin"/>
      </w:r>
      <w:r>
        <w:rPr/>
        <w:instrText>ADDIN EN.CITE &lt;EndNote&gt;&lt;Cite&gt;&lt;Author&gt;Sun&lt;/Author&gt;&lt;Year&gt;2013&lt;/Year&gt;&lt;RecNum&gt;16&lt;/RecNum&gt;&lt;DisplayText&gt;&lt;style face="superscript"&gt;[15]&lt;/style&gt;&lt;/DisplayText&gt;&lt;record&gt;&lt;rec-number&gt;16&lt;/rec-number&gt;&lt;foreign-keys&gt;&lt;key app="EN" db-id="wdds2t9tiwvf9mee0ac52ewfxse5dwxfx9ad" timestamp="1513894148"&gt;16&lt;/key&gt;&lt;/foreign-keys&gt;&lt;ref-type name="Journal Article"&gt;17&lt;/ref-type&gt;&lt;contributors&gt;&lt;authors&gt;&lt;author&gt;Sun, Jinchen&lt;/author&gt;&lt;author&gt;Tan, Huaping&lt;/author&gt;&lt;/authors&gt;&lt;/contributors&gt;&lt;titles&gt;&lt;title&gt;Alginate-based biomaterials for regenerative medicine applications&lt;/title&gt;&lt;secondary-title&gt;Materials&lt;/secondary-title&gt;&lt;/titles&gt;&lt;pages&gt;1285-1309&lt;/pages&gt;&lt;volume&gt;6&lt;/volume&gt;&lt;number&gt;4&lt;/number&gt;&lt;dates&gt;&lt;year&gt;2013&lt;/year&gt;&lt;/dates&gt;&lt;urls&gt;&lt;related-urls&gt;&lt;url&gt;http://www.mdpi.com/1996-1944/6/4/1285/pdf&lt;/url&gt;&lt;/related-urls&gt;&lt;/urls&gt;&lt;/record&gt;&lt;/Cite&gt;&lt;/EndNote&gt;</w:instrText>
      </w:r>
      <w:r>
        <w:rPr/>
        <w:fldChar w:fldCharType="separate"/>
      </w:r>
      <w:bookmarkStart w:id="27" w:name="__Fieldmark__510_1302293411"/>
      <w:r>
        <w:rPr/>
      </w:r>
      <w:r>
        <w:rPr>
          <w:rFonts w:cs="Times New Roman" w:ascii="Times New Roman" w:hAnsi="Times New Roman"/>
          <w:sz w:val="24"/>
          <w:szCs w:val="24"/>
          <w:vertAlign w:val="superscript"/>
        </w:rPr>
        <w:t>[15]</w:t>
      </w:r>
      <w:r>
        <w:rPr/>
      </w:r>
      <w:r>
        <w:rPr/>
        <w:fldChar w:fldCharType="end"/>
      </w:r>
      <w:bookmarkEnd w:id="27"/>
      <w:r>
        <w:rPr>
          <w:rFonts w:cs="Times New Roman" w:ascii="Times New Roman" w:hAnsi="Times New Roman"/>
          <w:sz w:val="24"/>
          <w:szCs w:val="24"/>
        </w:rPr>
        <w:t xml:space="preserve">; however, although is known that the ratio effect of these two monomers play some role in biocompatibility -alginate with higher guluronate content produced gels has been shown to be less biocompatible- </w:t>
      </w:r>
      <w:r>
        <w:fldChar w:fldCharType="begin"/>
      </w:r>
      <w:r>
        <w:rPr/>
        <w:instrText>ADDIN EN.CITE &lt;EndNote&gt;&lt;Cite&gt;&lt;Author&gt;Tam&lt;/Author&gt;&lt;Year&gt;2011&lt;/Year&gt;&lt;RecNum&gt;17&lt;/RecNum&gt;&lt;DisplayText&gt;&lt;style face="superscript"&gt;[16]&lt;/style&gt;&lt;/DisplayText&gt;&lt;record&gt;&lt;rec-number&gt;17&lt;/rec-number&gt;&lt;foreign-keys&gt;&lt;key app="EN" db-id="wdds2t9tiwvf9mee0ac52ewfxse5dwxfx9ad" timestamp="1513894148"&gt;17&lt;/key&gt;&lt;/foreign-keys&gt;&lt;ref-type name="Journal Article"&gt;17&lt;/ref-type&gt;&lt;contributors&gt;&lt;authors&gt;&lt;author&gt;Tam, S. K.&lt;/author&gt;&lt;author&gt;Dusseault, J.&lt;/author&gt;&lt;author&gt;Bilodeau, S.&lt;/author&gt;&lt;author&gt;Langlois, G.&lt;/author&gt;&lt;author&gt;Halle, J. P.&lt;/author&gt;&lt;author&gt;Yahia, L.&lt;/author&gt;&lt;/authors&gt;&lt;/contributors&gt;&lt;auth-address&gt;Laboratoire d&amp;apos;innovation et d&amp;apos;analyse de bioperformance, Institut de genie biomedical, Ecole Polytechnique, Montreal, Quebec H3T1J4, Canada. susan-kimberly.tam@polymtl.ca&lt;/auth-address&gt;&lt;titles&gt;&lt;title&gt;Factors influencing alginate gel biocompatibility&lt;/title&gt;&lt;secondary-title&gt;J Biomed Mater Res A&lt;/secondary-title&gt;&lt;/titles&gt;&lt;periodical&gt;&lt;full-title&gt;J Biomed Mater Res A&lt;/full-title&gt;&lt;/periodical&gt;&lt;pages&gt;40-52&lt;/pages&gt;&lt;volume&gt;98&lt;/volume&gt;&lt;number&gt;1&lt;/number&gt;&lt;edition&gt;2011/04/28&lt;/edition&gt;&lt;keywords&gt;&lt;keyword&gt;Alginates/chemistry/*pharmacology&lt;/keyword&gt;&lt;keyword&gt;Animals&lt;/keyword&gt;&lt;keyword&gt;Biocompatible Materials/*pharmacology&lt;/keyword&gt;&lt;keyword&gt;Cell Adhesion/drug effects&lt;/keyword&gt;&lt;keyword&gt;Elements&lt;/keyword&gt;&lt;keyword&gt;Gels/*pharmacology&lt;/keyword&gt;&lt;keyword&gt;Mice&lt;/keyword&gt;&lt;keyword&gt;Mice, Inbred C57BL&lt;/keyword&gt;&lt;keyword&gt;Microspheres&lt;/keyword&gt;&lt;keyword&gt;Peritoneal Cavity/cytology&lt;/keyword&gt;&lt;keyword&gt;Photoelectron Spectroscopy&lt;/keyword&gt;&lt;keyword&gt;Spectroscopy, Fourier Transform Infrared&lt;/keyword&gt;&lt;keyword&gt;Viscosity/drug effects&lt;/keyword&gt;&lt;keyword&gt;Wettability/drug effects&lt;/keyword&gt;&lt;/keywords&gt;&lt;dates&gt;&lt;year&gt;2011&lt;/year&gt;&lt;pub-dates&gt;&lt;date&gt;Jul&lt;/date&gt;&lt;/pub-dates&gt;&lt;/dates&gt;&lt;isbn&gt;1552-4965 (Electronic)&amp;#xD;1549-3296 (Linking)&lt;/isbn&gt;&lt;accession-num&gt;21523903&lt;/accession-num&gt;&lt;urls&gt;&lt;related-urls&gt;&lt;url&gt;http://www.ncbi.nlm.nih.gov/pubmed/21523903&lt;/url&gt;&lt;/related-urls&gt;&lt;/urls&gt;&lt;electronic-resource-num&gt;10.1002/jbm.a.33047&lt;/electronic-resource-num&gt;&lt;language&gt;eng&lt;/language&gt;&lt;/record&gt;&lt;/Cite&gt;&lt;/EndNote&gt;</w:instrText>
      </w:r>
      <w:r>
        <w:rPr/>
        <w:fldChar w:fldCharType="separate"/>
      </w:r>
      <w:bookmarkStart w:id="28" w:name="__Fieldmark__523_1302293411"/>
      <w:r>
        <w:rPr/>
      </w:r>
      <w:r>
        <w:rPr>
          <w:rFonts w:cs="Times New Roman" w:ascii="Times New Roman" w:hAnsi="Times New Roman"/>
          <w:sz w:val="24"/>
          <w:szCs w:val="24"/>
          <w:vertAlign w:val="superscript"/>
        </w:rPr>
        <w:t>[16]</w:t>
      </w:r>
      <w:r>
        <w:rPr/>
      </w:r>
      <w:r>
        <w:rPr/>
        <w:fldChar w:fldCharType="end"/>
      </w:r>
      <w:bookmarkEnd w:id="28"/>
      <w:r>
        <w:rPr>
          <w:rFonts w:cs="Times New Roman" w:ascii="Times New Roman" w:hAnsi="Times New Roman"/>
          <w:sz w:val="24"/>
          <w:szCs w:val="24"/>
        </w:rPr>
        <w:t xml:space="preserve">, its effect on bone regeneration remains unknown. Therefore, among different types of alginates we have chosen two sterile lyophilized alginates with high mannuronate and high guluronate content (SLM-20 and SLG-20) that has lower molecular weight (MW: 75000 – 220000 g/mol) and lower viscosity than other commercial alginates (i.e. SLM-100 and SLG-100) based on the idea that injectable formulations can be obtained easier with lower viscosity alginates. </w:t>
      </w:r>
      <w:r>
        <w:rPr>
          <w:rFonts w:cs="Times New Roman" w:ascii="Times New Roman" w:hAnsi="Times New Roman"/>
          <w:i/>
          <w:sz w:val="24"/>
          <w:szCs w:val="24"/>
        </w:rPr>
        <w:t>In situ</w:t>
      </w:r>
      <w:r>
        <w:rPr>
          <w:rFonts w:cs="Times New Roman" w:ascii="Times New Roman" w:hAnsi="Times New Roman"/>
          <w:sz w:val="24"/>
          <w:szCs w:val="24"/>
        </w:rPr>
        <w:t xml:space="preserve"> gelling formulations of alginates were developed via calcium complexation. Hyaluronic acid (HA) is another linear polysaccharide consisting of repeating units of D-glucuronic acid and N-acetyl-D-glucosamine and is an abundant glycosaminoglycan in extracellular matrices. Therefore, injectable HA hydrogels have been used for bone regeneration in the presence of BMP-2 </w:t>
      </w:r>
      <w:r>
        <w:fldChar w:fldCharType="begin"/>
      </w:r>
      <w:r>
        <w:rPr/>
        <w:instrText>ADDIN EN.CITE</w:instrText>
      </w:r>
      <w:r>
        <w:rPr/>
        <w:fldChar w:fldCharType="separate"/>
      </w:r>
      <w:bookmarkStart w:id="29" w:name="__Fieldmark__566_1302293411"/>
      <w:r>
        <w:rPr/>
      </w:r>
      <w:r>
        <w:rPr/>
      </w:r>
      <w:r>
        <w:rPr/>
        <w:fldChar w:fldCharType="end"/>
      </w:r>
      <w:r>
        <w:fldChar w:fldCharType="begin"/>
      </w:r>
      <w:r>
        <w:rPr/>
        <w:instrText>ADDIN EN.CITE.DATA</w:instrText>
      </w:r>
      <w:r>
        <w:rPr/>
        <w:fldChar w:fldCharType="separate"/>
      </w:r>
      <w:bookmarkStart w:id="30" w:name="__Fieldmark__565_1302293411"/>
      <w:bookmarkEnd w:id="29"/>
      <w:r>
        <w:rPr/>
      </w:r>
      <w:r>
        <w:rPr>
          <w:rFonts w:cs="Times New Roman" w:ascii="Times New Roman" w:hAnsi="Times New Roman"/>
          <w:sz w:val="24"/>
          <w:szCs w:val="24"/>
          <w:vertAlign w:val="superscript"/>
        </w:rPr>
        <w:t>[17]</w:t>
      </w:r>
      <w:r>
        <w:rPr/>
      </w:r>
      <w:r>
        <w:rPr/>
        <w:fldChar w:fldCharType="end"/>
      </w:r>
      <w:bookmarkEnd w:id="30"/>
      <w:r>
        <w:rPr>
          <w:rFonts w:cs="Times New Roman" w:ascii="Times New Roman" w:hAnsi="Times New Roman"/>
          <w:sz w:val="24"/>
          <w:szCs w:val="24"/>
        </w:rPr>
        <w:t xml:space="preserve">. However, to induce subcutaneous bone formation with HA, a very high dose of BMP-2 (150 µg/mL) is normally used </w:t>
      </w:r>
      <w:r>
        <w:fldChar w:fldCharType="begin"/>
      </w:r>
      <w:r>
        <w:rPr/>
        <w:instrText>ADDIN EN.CITE</w:instrText>
      </w:r>
      <w:r>
        <w:rPr/>
        <w:fldChar w:fldCharType="separate"/>
      </w:r>
      <w:bookmarkStart w:id="31" w:name="__Fieldmark__575_1302293411"/>
      <w:r>
        <w:rPr/>
      </w:r>
      <w:r>
        <w:rPr/>
      </w:r>
      <w:r>
        <w:rPr/>
        <w:fldChar w:fldCharType="end"/>
      </w:r>
      <w:r>
        <w:fldChar w:fldCharType="begin"/>
      </w:r>
      <w:r>
        <w:rPr/>
        <w:instrText>ADDIN EN.CITE.DATA</w:instrText>
      </w:r>
      <w:r>
        <w:rPr/>
        <w:fldChar w:fldCharType="separate"/>
      </w:r>
      <w:bookmarkStart w:id="32" w:name="__Fieldmark__574_1302293411"/>
      <w:bookmarkEnd w:id="31"/>
      <w:r>
        <w:rPr/>
      </w:r>
      <w:r>
        <w:rPr>
          <w:rFonts w:cs="Times New Roman" w:ascii="Times New Roman" w:hAnsi="Times New Roman"/>
          <w:sz w:val="24"/>
          <w:szCs w:val="24"/>
          <w:vertAlign w:val="superscript"/>
        </w:rPr>
        <w:t>[17b, 18]</w:t>
      </w:r>
      <w:r>
        <w:rPr/>
      </w:r>
      <w:r>
        <w:rPr/>
        <w:fldChar w:fldCharType="end"/>
      </w:r>
      <w:bookmarkEnd w:id="32"/>
      <w:r>
        <w:rPr>
          <w:rFonts w:cs="Times New Roman" w:ascii="Times New Roman" w:hAnsi="Times New Roman"/>
          <w:sz w:val="24"/>
          <w:szCs w:val="24"/>
        </w:rPr>
        <w:t xml:space="preserve">.Surprisingly, even when high doses of BMP-2 are supplied, HA has failed to induce bone formation </w:t>
      </w:r>
      <w:r>
        <w:fldChar w:fldCharType="begin"/>
      </w:r>
      <w:r>
        <w:rPr/>
        <w:instrText>ADDIN EN.CITE</w:instrText>
      </w:r>
      <w:r>
        <w:rPr/>
        <w:fldChar w:fldCharType="separate"/>
      </w:r>
      <w:bookmarkStart w:id="33" w:name="__Fieldmark__591_1302293411"/>
      <w:r>
        <w:rPr/>
      </w:r>
      <w:r>
        <w:rPr/>
      </w:r>
      <w:r>
        <w:rPr/>
        <w:fldChar w:fldCharType="end"/>
      </w:r>
      <w:r>
        <w:fldChar w:fldCharType="begin"/>
      </w:r>
      <w:r>
        <w:rPr/>
        <w:instrText>ADDIN EN.CITE.DATA</w:instrText>
      </w:r>
      <w:r>
        <w:rPr/>
        <w:fldChar w:fldCharType="separate"/>
      </w:r>
      <w:bookmarkStart w:id="34" w:name="__Fieldmark__590_1302293411"/>
      <w:bookmarkEnd w:id="33"/>
      <w:r>
        <w:rPr/>
      </w:r>
      <w:r>
        <w:rPr>
          <w:rFonts w:cs="Times New Roman" w:ascii="Times New Roman" w:hAnsi="Times New Roman"/>
          <w:sz w:val="24"/>
          <w:szCs w:val="24"/>
          <w:vertAlign w:val="superscript"/>
        </w:rPr>
        <w:t>[17b]</w:t>
      </w:r>
      <w:r>
        <w:rPr/>
      </w:r>
      <w:r>
        <w:rPr/>
        <w:fldChar w:fldCharType="end"/>
      </w:r>
      <w:bookmarkEnd w:id="34"/>
      <w:r>
        <w:rPr>
          <w:rFonts w:cs="Times New Roman" w:ascii="Times New Roman" w:hAnsi="Times New Roman"/>
          <w:sz w:val="24"/>
          <w:szCs w:val="24"/>
        </w:rPr>
        <w:t xml:space="preserve">. To optimize the performance of gels, those are often functionalized to engineer better delivery systems and that is also the case of HA and its derivations. Investigators have recently shown that HA gels functionalized with fibronectin formed more ectopic bone than its non-functionalized counterpart </w:t>
      </w:r>
      <w:r>
        <w:fldChar w:fldCharType="begin"/>
      </w:r>
      <w:r>
        <w:rPr/>
        <w:instrText>ADDIN EN.CITE</w:instrText>
      </w:r>
      <w:r>
        <w:rPr/>
        <w:fldChar w:fldCharType="separate"/>
      </w:r>
      <w:bookmarkStart w:id="35" w:name="__Fieldmark__602_1302293411"/>
      <w:r>
        <w:rPr/>
      </w:r>
      <w:r>
        <w:rPr/>
      </w:r>
      <w:r>
        <w:rPr/>
        <w:fldChar w:fldCharType="end"/>
      </w:r>
      <w:r>
        <w:fldChar w:fldCharType="begin"/>
      </w:r>
      <w:r>
        <w:rPr/>
        <w:instrText>ADDIN EN.CITE.DATA</w:instrText>
      </w:r>
      <w:r>
        <w:rPr/>
        <w:fldChar w:fldCharType="separate"/>
      </w:r>
      <w:bookmarkStart w:id="36" w:name="__Fieldmark__601_1302293411"/>
      <w:bookmarkEnd w:id="35"/>
      <w:r>
        <w:rPr/>
      </w:r>
      <w:r>
        <w:rPr>
          <w:rFonts w:cs="Times New Roman" w:ascii="Times New Roman" w:hAnsi="Times New Roman"/>
          <w:sz w:val="24"/>
          <w:szCs w:val="24"/>
          <w:vertAlign w:val="superscript"/>
        </w:rPr>
        <w:t>[19]</w:t>
      </w:r>
      <w:r>
        <w:rPr/>
      </w:r>
      <w:r>
        <w:rPr/>
        <w:fldChar w:fldCharType="end"/>
      </w:r>
      <w:bookmarkEnd w:id="36"/>
      <w:r>
        <w:rPr>
          <w:rFonts w:cs="Times New Roman" w:ascii="Times New Roman" w:hAnsi="Times New Roman"/>
          <w:sz w:val="24"/>
          <w:szCs w:val="24"/>
        </w:rPr>
        <w:t xml:space="preserve">. However, functionalizing HA did not always induce more bone formation. For example, heparin functionalization of HA led to less ectopic bone formation than its non-functionalized counterpart formation when implanted intramuscularly </w:t>
      </w:r>
      <w:r>
        <w:fldChar w:fldCharType="begin"/>
      </w:r>
      <w:r>
        <w:rPr/>
        <w:instrText>ADDIN EN.CITE</w:instrText>
      </w:r>
      <w:r>
        <w:rPr/>
        <w:fldChar w:fldCharType="separate"/>
      </w:r>
      <w:bookmarkStart w:id="37" w:name="__Fieldmark__613_1302293411"/>
      <w:r>
        <w:rPr/>
      </w:r>
      <w:r>
        <w:rPr/>
      </w:r>
      <w:r>
        <w:rPr/>
        <w:fldChar w:fldCharType="end"/>
      </w:r>
      <w:r>
        <w:fldChar w:fldCharType="begin"/>
      </w:r>
      <w:r>
        <w:rPr/>
        <w:instrText>ADDIN EN.CITE.DATA</w:instrText>
      </w:r>
      <w:r>
        <w:rPr/>
        <w:fldChar w:fldCharType="separate"/>
      </w:r>
      <w:bookmarkStart w:id="38" w:name="__Fieldmark__612_1302293411"/>
      <w:bookmarkEnd w:id="37"/>
      <w:r>
        <w:rPr/>
      </w:r>
      <w:r>
        <w:rPr>
          <w:rFonts w:cs="Times New Roman" w:ascii="Times New Roman" w:hAnsi="Times New Roman"/>
          <w:sz w:val="24"/>
          <w:szCs w:val="24"/>
          <w:vertAlign w:val="superscript"/>
        </w:rPr>
        <w:t>[20]</w:t>
      </w:r>
      <w:r>
        <w:rPr/>
      </w:r>
      <w:r>
        <w:rPr/>
        <w:fldChar w:fldCharType="end"/>
      </w:r>
      <w:bookmarkEnd w:id="38"/>
      <w:r>
        <w:rPr>
          <w:rFonts w:cs="Times New Roman" w:ascii="Times New Roman" w:hAnsi="Times New Roman"/>
          <w:sz w:val="24"/>
          <w:szCs w:val="24"/>
        </w:rPr>
        <w:t xml:space="preserve">. Another study examined the suitability of acrylated hyaluronic acid for tissue regeneration, concluding that it is as a potential carrier of cells and growth factors </w:t>
      </w:r>
      <w:r>
        <w:fldChar w:fldCharType="begin"/>
      </w:r>
      <w:r>
        <w:rPr/>
        <w:instrText>ADDIN EN.CITE</w:instrText>
      </w:r>
      <w:r>
        <w:rPr/>
        <w:fldChar w:fldCharType="separate"/>
      </w:r>
      <w:bookmarkStart w:id="39" w:name="__Fieldmark__630_1302293411"/>
      <w:r>
        <w:rPr/>
      </w:r>
      <w:r>
        <w:rPr/>
      </w:r>
      <w:r>
        <w:rPr/>
        <w:fldChar w:fldCharType="end"/>
      </w:r>
      <w:r>
        <w:fldChar w:fldCharType="begin"/>
      </w:r>
      <w:r>
        <w:rPr/>
        <w:instrText>ADDIN EN.CITE.DATA</w:instrText>
      </w:r>
      <w:r>
        <w:rPr/>
        <w:fldChar w:fldCharType="separate"/>
      </w:r>
      <w:bookmarkStart w:id="40" w:name="__Fieldmark__629_1302293411"/>
      <w:bookmarkEnd w:id="39"/>
      <w:r>
        <w:rPr/>
      </w:r>
      <w:r>
        <w:rPr>
          <w:rFonts w:cs="Times New Roman" w:ascii="Times New Roman" w:hAnsi="Times New Roman"/>
          <w:sz w:val="24"/>
          <w:szCs w:val="24"/>
          <w:vertAlign w:val="superscript"/>
        </w:rPr>
        <w:t>[21]</w:t>
      </w:r>
      <w:r>
        <w:rPr/>
      </w:r>
      <w:r>
        <w:rPr/>
        <w:fldChar w:fldCharType="end"/>
      </w:r>
      <w:bookmarkEnd w:id="40"/>
      <w:r>
        <w:rPr>
          <w:rFonts w:cs="Times New Roman" w:ascii="Times New Roman" w:hAnsi="Times New Roman"/>
          <w:sz w:val="24"/>
          <w:szCs w:val="24"/>
        </w:rPr>
        <w:t xml:space="preserve">. These studies showed that HA and alginates have potential for use in bone regeneration. However, choosing the right formulations of engineered materials with a right dose of BMP-2 is challenging. Additionally, a huge demand in bone regeneration field is the development of </w:t>
      </w:r>
      <w:r>
        <w:rPr>
          <w:rFonts w:cs="Times New Roman" w:ascii="Times New Roman" w:hAnsi="Times New Roman"/>
          <w:i/>
          <w:sz w:val="24"/>
          <w:szCs w:val="24"/>
        </w:rPr>
        <w:t>in situ</w:t>
      </w:r>
      <w:r>
        <w:rPr>
          <w:rFonts w:cs="Times New Roman" w:ascii="Times New Roman" w:hAnsi="Times New Roman"/>
          <w:sz w:val="24"/>
          <w:szCs w:val="24"/>
        </w:rPr>
        <w:t xml:space="preserve"> gelling materials that enable slow protein release, support cell attachment, vascularization and thus induction of bone formation. In this study, we have used Poly(N-isopropylacrylamide) functionalized hyaluronic acid (HApN) that shows thermoresponsive gelling behavior. </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We aimed to develop</w:t>
      </w:r>
      <w:r>
        <w:rPr>
          <w:rFonts w:cs="Times New Roman" w:ascii="Times New Roman" w:hAnsi="Times New Roman"/>
          <w:i/>
          <w:sz w:val="24"/>
          <w:szCs w:val="24"/>
        </w:rPr>
        <w:t xml:space="preserve"> in situ</w:t>
      </w:r>
      <w:r>
        <w:rPr>
          <w:rFonts w:cs="Times New Roman" w:ascii="Times New Roman" w:hAnsi="Times New Roman"/>
          <w:sz w:val="24"/>
          <w:szCs w:val="24"/>
        </w:rPr>
        <w:t xml:space="preserve"> gelling formulations with natural polymers (alginate or HA) to retain the RCP-MS which would provide slow BMP-2 release and increase cell attachment. We also wanted to assess how the hydrogel matrices influence the </w:t>
      </w:r>
      <w:r>
        <w:rPr>
          <w:rFonts w:cs="Times New Roman" w:ascii="Times New Roman" w:hAnsi="Times New Roman"/>
          <w:i/>
          <w:sz w:val="24"/>
          <w:szCs w:val="24"/>
        </w:rPr>
        <w:t>in vitro</w:t>
      </w:r>
      <w:r>
        <w:rPr>
          <w:rFonts w:cs="Times New Roman" w:ascii="Times New Roman" w:hAnsi="Times New Roman"/>
          <w:sz w:val="24"/>
          <w:szCs w:val="24"/>
        </w:rPr>
        <w:t xml:space="preserve"> release of BMP-2 from the microspheres and the bone induction </w:t>
      </w:r>
      <w:r>
        <w:rPr>
          <w:rFonts w:cs="Times New Roman" w:ascii="Times New Roman" w:hAnsi="Times New Roman"/>
          <w:i/>
          <w:sz w:val="24"/>
          <w:szCs w:val="24"/>
        </w:rPr>
        <w:t xml:space="preserve">in vivo. </w:t>
      </w:r>
      <w:r>
        <w:rPr>
          <w:rFonts w:cs="Times New Roman" w:ascii="Times New Roman" w:hAnsi="Times New Roman"/>
          <w:sz w:val="24"/>
          <w:szCs w:val="24"/>
        </w:rPr>
        <w:t xml:space="preserve">For that purpose, we have developed three different hydrogel-microsphere systems: two different thixotropic alginate formulations and a thermoresponsive (gelling above 32 </w:t>
      </w:r>
      <w:r>
        <w:rPr>
          <w:rFonts w:cs="Times New Roman" w:ascii="Times New Roman" w:hAnsi="Times New Roman"/>
          <w:iCs/>
          <w:sz w:val="24"/>
          <w:szCs w:val="24"/>
          <w:lang w:val="en-GB"/>
        </w:rPr>
        <w:t>°</w:t>
      </w:r>
      <w:r>
        <w:rPr>
          <w:rFonts w:cs="Times New Roman" w:ascii="Times New Roman" w:hAnsi="Times New Roman"/>
          <w:sz w:val="24"/>
          <w:szCs w:val="24"/>
        </w:rPr>
        <w:t xml:space="preserve">C) HApN. The three distinct formulations are different in terms of chemical composition, crosslinking and physical/mechanical properties. Here we aimed to assess them in terms of their ability to support bone formation acting as a growth factor slow release system. Thus, the function of these gels is to be injectable, </w:t>
      </w:r>
      <w:r>
        <w:rPr>
          <w:rFonts w:cs="Times New Roman" w:ascii="Times New Roman" w:hAnsi="Times New Roman"/>
          <w:i/>
          <w:sz w:val="24"/>
          <w:szCs w:val="24"/>
        </w:rPr>
        <w:t>in situ</w:t>
      </w:r>
      <w:r>
        <w:rPr>
          <w:rFonts w:cs="Times New Roman" w:ascii="Times New Roman" w:hAnsi="Times New Roman"/>
          <w:sz w:val="24"/>
          <w:szCs w:val="24"/>
        </w:rPr>
        <w:t xml:space="preserve"> gelling, provide a sustained release of BMP-2 and ultimately induce </w:t>
      </w:r>
      <w:r>
        <w:rPr>
          <w:rFonts w:cs="Times New Roman" w:ascii="Times New Roman" w:hAnsi="Times New Roman"/>
          <w:i/>
          <w:sz w:val="24"/>
          <w:szCs w:val="24"/>
        </w:rPr>
        <w:t>de novo</w:t>
      </w:r>
      <w:r>
        <w:rPr>
          <w:rFonts w:cs="Times New Roman" w:ascii="Times New Roman" w:hAnsi="Times New Roman"/>
          <w:sz w:val="24"/>
          <w:szCs w:val="24"/>
        </w:rPr>
        <w:t xml:space="preserve"> bone formation. The mechanical properties of these gels and BMP-2 release characteristics </w:t>
      </w:r>
      <w:r>
        <w:rPr>
          <w:rFonts w:cs="Times New Roman" w:ascii="Times New Roman" w:hAnsi="Times New Roman"/>
          <w:i/>
          <w:sz w:val="24"/>
          <w:szCs w:val="24"/>
        </w:rPr>
        <w:t xml:space="preserve">in vitro </w:t>
      </w:r>
      <w:r>
        <w:rPr>
          <w:rFonts w:cs="Times New Roman" w:ascii="Times New Roman" w:hAnsi="Times New Roman"/>
          <w:sz w:val="24"/>
          <w:szCs w:val="24"/>
        </w:rPr>
        <w:t xml:space="preserve">were evaluated. The bone formation ability of these materials was studied in an ectopic bone formation model </w:t>
      </w:r>
      <w:r>
        <w:rPr>
          <w:rFonts w:cs="Times New Roman" w:ascii="Times New Roman" w:hAnsi="Times New Roman"/>
          <w:i/>
          <w:sz w:val="24"/>
          <w:szCs w:val="24"/>
        </w:rPr>
        <w:t>in vivo</w:t>
      </w:r>
      <w:r>
        <w:rPr>
          <w:rFonts w:cs="Times New Roman" w:ascii="Times New Roman" w:hAnsi="Times New Roman"/>
          <w:sz w:val="24"/>
          <w:szCs w:val="24"/>
        </w:rPr>
        <w:t xml:space="preserve">. The volume and morphology of the ectopic bone, vascularization, cellular infiltration and inflammation were evaluated. </w:t>
      </w:r>
    </w:p>
    <w:p>
      <w:pPr>
        <w:pStyle w:val="Subtitle"/>
        <w:spacing w:lineRule="auto" w:line="360"/>
        <w:jc w:val="both"/>
        <w:rPr>
          <w:rFonts w:ascii="Times New Roman" w:hAnsi="Times New Roman" w:cs="Times New Roman"/>
          <w:sz w:val="24"/>
        </w:rPr>
      </w:pPr>
      <w:r>
        <w:rPr>
          <w:rFonts w:cs="Times New Roman" w:ascii="Times New Roman" w:hAnsi="Times New Roman"/>
        </w:rPr>
        <w:t>2</w:t>
      </w:r>
      <w:r>
        <w:rPr>
          <w:rFonts w:cs="Times New Roman" w:ascii="Times New Roman" w:hAnsi="Times New Roman"/>
          <w:sz w:val="24"/>
        </w:rPr>
        <w:t>. Results</w:t>
      </w:r>
    </w:p>
    <w:p>
      <w:pPr>
        <w:pStyle w:val="Subtitle"/>
        <w:spacing w:lineRule="auto" w:line="360"/>
        <w:jc w:val="both"/>
        <w:rPr>
          <w:rFonts w:ascii="Times New Roman" w:hAnsi="Times New Roman" w:cs="Times New Roman"/>
          <w:sz w:val="24"/>
        </w:rPr>
      </w:pPr>
      <w:r>
        <w:rPr>
          <w:rFonts w:cs="Times New Roman" w:ascii="Times New Roman" w:hAnsi="Times New Roman"/>
          <w:sz w:val="24"/>
        </w:rPr>
        <w:t xml:space="preserve">2.1. RCP microsphere-alginate in situ gelling hydrogels have shear-thinning behavior </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Strain-dependent oscillatory rheology of RCP microsphere-alginate hydrogels showed an extremely broad linear viscoelastic region in addition to network rupture at high strains for the alginates containing 8% microspheres (</w:t>
      </w:r>
      <w:r>
        <w:rPr>
          <w:rFonts w:cs="Times New Roman" w:ascii="Times New Roman" w:hAnsi="Times New Roman"/>
          <w:b/>
          <w:sz w:val="24"/>
          <w:szCs w:val="24"/>
        </w:rPr>
        <w:t>Table 1</w:t>
      </w:r>
      <w:r>
        <w:rPr>
          <w:rFonts w:cs="Times New Roman" w:ascii="Times New Roman" w:hAnsi="Times New Roman"/>
          <w:sz w:val="24"/>
          <w:szCs w:val="24"/>
        </w:rPr>
        <w:t xml:space="preserve"> and </w:t>
      </w:r>
      <w:r>
        <w:rPr>
          <w:rFonts w:cs="Times New Roman" w:ascii="Times New Roman" w:hAnsi="Times New Roman"/>
          <w:b/>
          <w:sz w:val="24"/>
          <w:szCs w:val="24"/>
        </w:rPr>
        <w:t>Figure S3</w:t>
      </w:r>
      <w:r>
        <w:rPr>
          <w:rFonts w:cs="Times New Roman" w:ascii="Times New Roman" w:hAnsi="Times New Roman"/>
          <w:sz w:val="24"/>
          <w:szCs w:val="24"/>
        </w:rPr>
        <w:t>). The SLG alginate with microspheres (SLG + 8% microspheres) broke at 150% strain whereas the formulation containing glucono-delta-lactone (GDL, which allowed release of Ca</w:t>
      </w:r>
      <w:r>
        <w:rPr>
          <w:rFonts w:cs="Times New Roman" w:ascii="Times New Roman" w:hAnsi="Times New Roman"/>
          <w:sz w:val="24"/>
          <w:szCs w:val="24"/>
          <w:vertAlign w:val="superscript"/>
        </w:rPr>
        <w:t>2+</w:t>
      </w:r>
      <w:r>
        <w:rPr>
          <w:rFonts w:cs="Times New Roman" w:ascii="Times New Roman" w:hAnsi="Times New Roman"/>
          <w:sz w:val="24"/>
          <w:szCs w:val="24"/>
        </w:rPr>
        <w:t xml:space="preserve"> ions to enable the crosslinking of the alginate) (SLG + 8% microspheres + GDL) was not broken at the maximum strain measured, 167% (Table S1). This demonstrates that addition of GDL to the formulation, releasing 3.18 µM Ca</w:t>
      </w:r>
      <w:r>
        <w:rPr>
          <w:rFonts w:cs="Times New Roman" w:ascii="Times New Roman" w:hAnsi="Times New Roman"/>
          <w:sz w:val="24"/>
          <w:szCs w:val="24"/>
          <w:vertAlign w:val="superscript"/>
        </w:rPr>
        <w:t>2+</w:t>
      </w:r>
      <w:r>
        <w:rPr>
          <w:rFonts w:cs="Times New Roman" w:ascii="Times New Roman" w:hAnsi="Times New Roman"/>
          <w:sz w:val="24"/>
          <w:szCs w:val="24"/>
        </w:rPr>
        <w:t xml:space="preserve"> ions (Table 1), improved the mechanical properties of the SLG gel as a result of the release of Ca</w:t>
      </w:r>
      <w:r>
        <w:rPr>
          <w:rFonts w:cs="Times New Roman" w:ascii="Times New Roman" w:hAnsi="Times New Roman"/>
          <w:sz w:val="24"/>
          <w:szCs w:val="24"/>
          <w:vertAlign w:val="superscript"/>
        </w:rPr>
        <w:t>2+</w:t>
      </w:r>
      <w:r>
        <w:rPr>
          <w:rFonts w:cs="Times New Roman" w:ascii="Times New Roman" w:hAnsi="Times New Roman"/>
          <w:sz w:val="24"/>
          <w:szCs w:val="24"/>
        </w:rPr>
        <w:t xml:space="preserve"> ions that allowed alginate crosslinking. The viscoelastic region was much smaller for the control consisting of alginate,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particles (1 µm) and GDL. This formulation was broken at 40% strain showing the reinforcing effect of the microspheres in the formulation. GDL was not required for the crosslinking of the SLM alginate.</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Interestingly, the optimized formulations of SLM+MS and SLG+MS were thixotropic. When 500% strain was applied, a decrease in both loss and storage moduli was observed and the hydrogel structure was broken showing the shear-thinning effect (</w:t>
      </w:r>
      <w:r>
        <w:rPr>
          <w:rFonts w:cs="Times New Roman" w:ascii="Times New Roman" w:hAnsi="Times New Roman"/>
          <w:b/>
          <w:sz w:val="24"/>
          <w:szCs w:val="24"/>
        </w:rPr>
        <w:t>Figure 1A</w:t>
      </w:r>
      <w:r>
        <w:rPr>
          <w:rFonts w:cs="Times New Roman" w:ascii="Times New Roman" w:hAnsi="Times New Roman"/>
          <w:sz w:val="24"/>
          <w:szCs w:val="24"/>
        </w:rPr>
        <w:t xml:space="preserve">). When the stress was removed, the hydrogel recovered almost instantaneously indicating that the gel can be formed </w:t>
      </w:r>
      <w:r>
        <w:rPr>
          <w:rFonts w:cs="Times New Roman" w:ascii="Times New Roman" w:hAnsi="Times New Roman"/>
          <w:i/>
          <w:sz w:val="24"/>
          <w:szCs w:val="24"/>
        </w:rPr>
        <w:t>in situ</w:t>
      </w:r>
      <w:r>
        <w:rPr>
          <w:rFonts w:cs="Times New Roman" w:ascii="Times New Roman" w:hAnsi="Times New Roman"/>
          <w:sz w:val="24"/>
          <w:szCs w:val="24"/>
        </w:rPr>
        <w:t xml:space="preserve"> directly after injection </w:t>
      </w:r>
      <w:r>
        <w:rPr>
          <w:rFonts w:cs="Times New Roman" w:ascii="Times New Roman" w:hAnsi="Times New Roman"/>
          <w:i/>
          <w:sz w:val="24"/>
          <w:szCs w:val="24"/>
        </w:rPr>
        <w:t>in vivo</w:t>
      </w:r>
      <w:r>
        <w:rPr>
          <w:rFonts w:cs="Times New Roman" w:ascii="Times New Roman" w:hAnsi="Times New Roman"/>
          <w:sz w:val="24"/>
          <w:szCs w:val="24"/>
        </w:rPr>
        <w:t>. This cycle can be repeated several times without loss of function. Both of the alginates were injectable due to this shear thinning behavior. The formed hydrogels had storage (elastic) moduli between 1-2 kPa for both alginate gel formulations.</w:t>
      </w:r>
    </w:p>
    <w:p>
      <w:pPr>
        <w:pStyle w:val="Normal"/>
        <w:spacing w:lineRule="auto" w:line="480" w:before="0" w:after="0"/>
        <w:jc w:val="both"/>
        <w:rPr>
          <w:rFonts w:ascii="Times New Roman" w:hAnsi="Times New Roman" w:cs="Times New Roman"/>
          <w:sz w:val="24"/>
          <w:szCs w:val="24"/>
        </w:rPr>
      </w:pPr>
      <w:r>
        <w:rPr>
          <w:rFonts w:cs="Times New Roman" w:ascii="Times New Roman" w:hAnsi="Times New Roman"/>
          <w:sz w:val="24"/>
          <w:szCs w:val="24"/>
        </w:rPr>
        <w:t>The surface morphologies of the freeze-dried formulations were examined by SEM</w:t>
      </w:r>
      <w:r>
        <w:rPr>
          <w:rFonts w:cs="Times New Roman" w:ascii="Times New Roman" w:hAnsi="Times New Roman"/>
          <w:sz w:val="20"/>
          <w:szCs w:val="20"/>
        </w:rPr>
        <w:t xml:space="preserve">. </w:t>
      </w:r>
      <w:r>
        <w:rPr>
          <w:rFonts w:cs="Times New Roman" w:ascii="Times New Roman" w:hAnsi="Times New Roman"/>
          <w:sz w:val="24"/>
          <w:szCs w:val="24"/>
        </w:rPr>
        <w:t xml:space="preserve">Polymer scaffolds for tissue engineering must be highly porous to permit the infiltration of a large number of cells and their differentiation </w:t>
      </w:r>
      <w:r>
        <w:rPr>
          <w:rFonts w:cs="Times New Roman" w:ascii="Times New Roman" w:hAnsi="Times New Roman"/>
          <w:i/>
          <w:sz w:val="24"/>
          <w:szCs w:val="24"/>
        </w:rPr>
        <w:t>in situ.</w:t>
      </w:r>
      <w:r>
        <w:rPr>
          <w:rFonts w:cs="Times New Roman" w:ascii="Times New Roman" w:hAnsi="Times New Roman"/>
          <w:sz w:val="20"/>
          <w:szCs w:val="20"/>
        </w:rPr>
        <w:t xml:space="preserve"> </w:t>
      </w:r>
      <w:r>
        <w:rPr>
          <w:rFonts w:cs="Times New Roman" w:ascii="Times New Roman" w:hAnsi="Times New Roman"/>
          <w:sz w:val="24"/>
          <w:szCs w:val="24"/>
        </w:rPr>
        <w:t>Dry average diameter of RCP-MS was ~ 70 μm and the formulations studied – alginate SLM, alginate SLG and HApN- formed an interconnected pore network with the RCP-MS homogenously distributed throughout it (</w:t>
      </w:r>
      <w:r>
        <w:rPr>
          <w:rFonts w:cs="Times New Roman" w:ascii="Times New Roman" w:hAnsi="Times New Roman"/>
          <w:b/>
          <w:sz w:val="24"/>
          <w:szCs w:val="24"/>
        </w:rPr>
        <w:t>Figure 1C</w:t>
      </w:r>
      <w:r>
        <w:rPr>
          <w:rFonts w:cs="Times New Roman" w:ascii="Times New Roman" w:hAnsi="Times New Roman"/>
          <w:sz w:val="24"/>
          <w:szCs w:val="24"/>
        </w:rPr>
        <w:t xml:space="preserve">). Table 1 indicates the composition of the formulations used. The aim was to find the optimal formulation with the minimum of fabrication steps with our desired characteristics that would lead to maximum bone formation </w:t>
      </w:r>
      <w:r>
        <w:rPr>
          <w:rFonts w:cs="Times New Roman" w:ascii="Times New Roman" w:hAnsi="Times New Roman"/>
          <w:i/>
          <w:sz w:val="24"/>
          <w:szCs w:val="24"/>
        </w:rPr>
        <w:t>in vivo.</w:t>
      </w:r>
    </w:p>
    <w:p>
      <w:pPr>
        <w:pStyle w:val="Normal"/>
        <w:spacing w:lineRule="auto" w:line="480" w:before="0" w:after="0"/>
        <w:rPr>
          <w:rFonts w:ascii="Times-Roman" w:hAnsi="Times-Roman" w:cs="Times-Roman"/>
          <w:sz w:val="20"/>
          <w:szCs w:val="20"/>
        </w:rPr>
      </w:pPr>
      <w:r>
        <w:rPr>
          <w:rFonts w:cs="Times-Roman" w:ascii="Times-Roman" w:hAnsi="Times-Roman"/>
          <w:sz w:val="20"/>
          <w:szCs w:val="20"/>
        </w:rPr>
      </w:r>
    </w:p>
    <w:p>
      <w:pPr>
        <w:pStyle w:val="Normal"/>
        <w:spacing w:lineRule="auto" w:line="240"/>
        <w:rPr>
          <w:i/>
          <w:i/>
          <w:iCs/>
          <w:sz w:val="18"/>
          <w:szCs w:val="18"/>
          <w:lang w:val="en-GB"/>
        </w:rPr>
      </w:pPr>
      <w:r>
        <w:rPr>
          <w:rFonts w:cs="Times New Roman" w:ascii="Times New Roman" w:hAnsi="Times New Roman"/>
          <w:b/>
          <w:bCs/>
          <w:iCs/>
          <w:sz w:val="24"/>
          <w:szCs w:val="24"/>
          <w:lang w:val="en-GB"/>
        </w:rPr>
        <w:t>Table 1</w:t>
      </w:r>
      <w:r>
        <w:rPr>
          <w:rFonts w:cs="Times New Roman" w:ascii="Times New Roman" w:hAnsi="Times New Roman"/>
          <w:sz w:val="24"/>
          <w:szCs w:val="24"/>
          <w:lang w:val="en-GB"/>
        </w:rPr>
        <w:t xml:space="preserve">. </w:t>
      </w:r>
      <w:r>
        <w:rPr>
          <w:rFonts w:cs="Times New Roman" w:ascii="Times New Roman" w:hAnsi="Times New Roman"/>
          <w:iCs/>
          <w:sz w:val="24"/>
          <w:szCs w:val="24"/>
          <w:lang w:val="en-GB"/>
        </w:rPr>
        <w:t>Composition of the formulations used for the in vitro BMP-2 release study and for the in vivo experiment.</w:t>
      </w:r>
      <w:r>
        <w:rPr/>
        <w:t xml:space="preserve"> </w:t>
      </w:r>
    </w:p>
    <w:tbl>
      <w:tblPr>
        <w:tblW w:w="10187"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1141"/>
        <w:gridCol w:w="930"/>
        <w:gridCol w:w="891"/>
        <w:gridCol w:w="938"/>
        <w:gridCol w:w="939"/>
        <w:gridCol w:w="858"/>
        <w:gridCol w:w="858"/>
        <w:gridCol w:w="858"/>
        <w:gridCol w:w="963"/>
        <w:gridCol w:w="964"/>
        <w:gridCol w:w="845"/>
      </w:tblGrid>
      <w:tr>
        <w:trPr/>
        <w:tc>
          <w:tcPr>
            <w:tcW w:w="1141" w:type="dxa"/>
            <w:tcBorders>
              <w:top w:val="single" w:sz="4" w:space="0" w:color="000000"/>
              <w:bottom w:val="single" w:sz="4" w:space="0" w:color="000000"/>
              <w:insideH w:val="single" w:sz="4" w:space="0" w:color="000000"/>
            </w:tcBorders>
            <w:shd w:fill="auto" w:val="clear"/>
          </w:tcPr>
          <w:p>
            <w:pPr>
              <w:pStyle w:val="TableHead"/>
              <w:jc w:val="left"/>
              <w:rPr>
                <w:lang w:val="en-US"/>
              </w:rPr>
            </w:pPr>
            <w:r>
              <w:rPr>
                <w:lang w:val="en-US"/>
              </w:rPr>
              <w:t>Formulations</w:t>
            </w:r>
          </w:p>
        </w:tc>
        <w:tc>
          <w:tcPr>
            <w:tcW w:w="930"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Conc. of alginate (%)</w:t>
            </w:r>
          </w:p>
        </w:tc>
        <w:tc>
          <w:tcPr>
            <w:tcW w:w="891"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Conc. of HApN (%)</w:t>
            </w:r>
          </w:p>
        </w:tc>
        <w:tc>
          <w:tcPr>
            <w:tcW w:w="938"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RCP-MS with CaCO</w:t>
            </w:r>
            <w:r>
              <w:rPr>
                <w:vertAlign w:val="subscript"/>
                <w:lang w:val="en-US"/>
              </w:rPr>
              <w:t>3</w:t>
            </w:r>
            <w:r>
              <w:rPr>
                <w:lang w:val="en-US"/>
              </w:rPr>
              <w:t xml:space="preserve"> (mg/mL)</w:t>
            </w:r>
          </w:p>
        </w:tc>
        <w:tc>
          <w:tcPr>
            <w:tcW w:w="939"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RCP-MS without CaCO</w:t>
            </w:r>
            <w:r>
              <w:rPr>
                <w:vertAlign w:val="subscript"/>
                <w:lang w:val="en-US"/>
              </w:rPr>
              <w:t>3</w:t>
            </w:r>
            <w:r>
              <w:rPr>
                <w:lang w:val="en-US"/>
              </w:rPr>
              <w:t xml:space="preserve"> (mg/mL)</w:t>
            </w:r>
          </w:p>
        </w:tc>
        <w:tc>
          <w:tcPr>
            <w:tcW w:w="858"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CaCO</w:t>
            </w:r>
            <w:r>
              <w:rPr>
                <w:vertAlign w:val="subscript"/>
                <w:lang w:val="en-US"/>
              </w:rPr>
              <w:t>3</w:t>
            </w:r>
            <w:r>
              <w:rPr>
                <w:lang w:val="en-US"/>
              </w:rPr>
              <w:t xml:space="preserve"> (mg/mL)</w:t>
            </w:r>
          </w:p>
        </w:tc>
        <w:tc>
          <w:tcPr>
            <w:tcW w:w="858"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RCP</w:t>
            </w:r>
          </w:p>
          <w:p>
            <w:pPr>
              <w:pStyle w:val="TableHead"/>
              <w:jc w:val="center"/>
              <w:rPr>
                <w:lang w:val="en-US"/>
              </w:rPr>
            </w:pPr>
            <w:r>
              <w:rPr>
                <w:lang w:val="en-US"/>
              </w:rPr>
              <w:t>(mg/mL)</w:t>
            </w:r>
          </w:p>
        </w:tc>
        <w:tc>
          <w:tcPr>
            <w:tcW w:w="858"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GDL</w:t>
            </w:r>
          </w:p>
          <w:p>
            <w:pPr>
              <w:pStyle w:val="TableHead"/>
              <w:jc w:val="center"/>
              <w:rPr>
                <w:lang w:val="en-US"/>
              </w:rPr>
            </w:pPr>
            <w:r>
              <w:rPr>
                <w:lang w:val="en-US"/>
              </w:rPr>
              <w:t>(mg/mL)</w:t>
            </w:r>
          </w:p>
        </w:tc>
        <w:tc>
          <w:tcPr>
            <w:tcW w:w="963"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Ca solubilized (</w:t>
            </w:r>
            <w:r>
              <w:rPr>
                <w:rFonts w:cs="Arial"/>
                <w:lang w:val="en-US"/>
              </w:rPr>
              <w:t>µ</w:t>
            </w:r>
            <w:r>
              <w:rPr>
                <w:lang w:val="en-US"/>
              </w:rPr>
              <w:t>M)</w:t>
            </w:r>
          </w:p>
        </w:tc>
        <w:tc>
          <w:tcPr>
            <w:tcW w:w="964"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Ca solubilized (</w:t>
            </w:r>
            <w:r>
              <w:rPr>
                <w:rFonts w:cs="Arial"/>
                <w:lang w:val="en-US"/>
              </w:rPr>
              <w:t>%</w:t>
            </w:r>
            <w:r>
              <w:rPr>
                <w:lang w:val="en-US"/>
              </w:rPr>
              <w:t>)</w:t>
            </w:r>
          </w:p>
        </w:tc>
        <w:tc>
          <w:tcPr>
            <w:tcW w:w="845" w:type="dxa"/>
            <w:tcBorders>
              <w:top w:val="single" w:sz="4" w:space="0" w:color="000000"/>
              <w:bottom w:val="single" w:sz="4" w:space="0" w:color="000000"/>
              <w:insideH w:val="single" w:sz="4" w:space="0" w:color="000000"/>
            </w:tcBorders>
            <w:shd w:fill="auto" w:val="clear"/>
          </w:tcPr>
          <w:p>
            <w:pPr>
              <w:pStyle w:val="TableHead"/>
              <w:jc w:val="center"/>
              <w:rPr>
                <w:lang w:val="en-US"/>
              </w:rPr>
            </w:pPr>
            <w:r>
              <w:rPr>
                <w:lang w:val="en-US"/>
              </w:rPr>
              <w:t>Amount of BMP-2 (</w:t>
            </w:r>
            <w:r>
              <w:rPr>
                <w:rFonts w:cs="Arial"/>
                <w:lang w:val="en-US"/>
              </w:rPr>
              <w:t>µ</w:t>
            </w:r>
            <w:r>
              <w:rPr>
                <w:lang w:val="en-US"/>
              </w:rPr>
              <w:t>g/mL)</w:t>
            </w:r>
          </w:p>
        </w:tc>
      </w:tr>
      <w:tr>
        <w:trPr/>
        <w:tc>
          <w:tcPr>
            <w:tcW w:w="1141" w:type="dxa"/>
            <w:tcBorders>
              <w:top w:val="single" w:sz="4" w:space="0" w:color="000000"/>
            </w:tcBorders>
            <w:shd w:fill="auto" w:val="clear"/>
          </w:tcPr>
          <w:p>
            <w:pPr>
              <w:pStyle w:val="TableBody"/>
              <w:jc w:val="left"/>
              <w:rPr>
                <w:lang w:val="en-US"/>
              </w:rPr>
            </w:pPr>
            <w:r>
              <w:rPr>
                <w:lang w:val="en-US"/>
              </w:rPr>
              <w:t>SLM with RCP-MS</w:t>
            </w:r>
          </w:p>
        </w:tc>
        <w:tc>
          <w:tcPr>
            <w:tcW w:w="930" w:type="dxa"/>
            <w:tcBorders>
              <w:top w:val="single" w:sz="4" w:space="0" w:color="000000"/>
            </w:tcBorders>
            <w:shd w:fill="auto" w:val="clear"/>
          </w:tcPr>
          <w:p>
            <w:pPr>
              <w:pStyle w:val="TableBody"/>
              <w:jc w:val="center"/>
              <w:rPr>
                <w:lang w:val="en-US"/>
              </w:rPr>
            </w:pPr>
            <w:r>
              <w:rPr>
                <w:lang w:val="en-US"/>
              </w:rPr>
              <w:t>1.5</w:t>
            </w:r>
          </w:p>
        </w:tc>
        <w:tc>
          <w:tcPr>
            <w:tcW w:w="891" w:type="dxa"/>
            <w:tcBorders>
              <w:top w:val="single" w:sz="4" w:space="0" w:color="000000"/>
            </w:tcBorders>
            <w:shd w:fill="auto" w:val="clear"/>
          </w:tcPr>
          <w:p>
            <w:pPr>
              <w:pStyle w:val="TableBody"/>
              <w:jc w:val="center"/>
              <w:rPr>
                <w:lang w:val="en-US"/>
              </w:rPr>
            </w:pPr>
            <w:r>
              <w:rPr>
                <w:lang w:val="en-US"/>
              </w:rPr>
              <w:t>-</w:t>
            </w:r>
          </w:p>
        </w:tc>
        <w:tc>
          <w:tcPr>
            <w:tcW w:w="938" w:type="dxa"/>
            <w:tcBorders>
              <w:top w:val="single" w:sz="4" w:space="0" w:color="000000"/>
            </w:tcBorders>
            <w:shd w:fill="auto" w:val="clear"/>
          </w:tcPr>
          <w:p>
            <w:pPr>
              <w:pStyle w:val="TableBody"/>
              <w:jc w:val="center"/>
              <w:rPr>
                <w:lang w:val="en-US"/>
              </w:rPr>
            </w:pPr>
            <w:r>
              <w:rPr>
                <w:lang w:val="en-US"/>
              </w:rPr>
              <w:t>54</w:t>
            </w:r>
          </w:p>
        </w:tc>
        <w:tc>
          <w:tcPr>
            <w:tcW w:w="939" w:type="dxa"/>
            <w:tcBorders>
              <w:top w:val="single" w:sz="4" w:space="0" w:color="000000"/>
            </w:tcBorders>
            <w:shd w:fill="auto" w:val="clear"/>
          </w:tcPr>
          <w:p>
            <w:pPr>
              <w:pStyle w:val="TableBody"/>
              <w:jc w:val="center"/>
              <w:rPr>
                <w:lang w:val="en-US"/>
              </w:rPr>
            </w:pPr>
            <w:r>
              <w:rPr>
                <w:lang w:val="en-US"/>
              </w:rPr>
              <w:t>-</w:t>
            </w:r>
          </w:p>
        </w:tc>
        <w:tc>
          <w:tcPr>
            <w:tcW w:w="858" w:type="dxa"/>
            <w:tcBorders>
              <w:top w:val="single" w:sz="4" w:space="0" w:color="000000"/>
            </w:tcBorders>
            <w:shd w:fill="auto" w:val="clear"/>
          </w:tcPr>
          <w:p>
            <w:pPr>
              <w:pStyle w:val="TableBody"/>
              <w:jc w:val="center"/>
              <w:rPr>
                <w:lang w:val="en-US"/>
              </w:rPr>
            </w:pPr>
            <w:r>
              <w:rPr>
                <w:lang w:val="en-US"/>
              </w:rPr>
              <w:t>27</w:t>
            </w:r>
          </w:p>
        </w:tc>
        <w:tc>
          <w:tcPr>
            <w:tcW w:w="858" w:type="dxa"/>
            <w:tcBorders>
              <w:top w:val="single" w:sz="4" w:space="0" w:color="000000"/>
            </w:tcBorders>
            <w:shd w:fill="auto" w:val="clear"/>
          </w:tcPr>
          <w:p>
            <w:pPr>
              <w:pStyle w:val="TableBody"/>
              <w:jc w:val="center"/>
              <w:rPr>
                <w:lang w:val="en-US"/>
              </w:rPr>
            </w:pPr>
            <w:r>
              <w:rPr>
                <w:lang w:val="en-US"/>
              </w:rPr>
              <w:t>27</w:t>
            </w:r>
          </w:p>
        </w:tc>
        <w:tc>
          <w:tcPr>
            <w:tcW w:w="858" w:type="dxa"/>
            <w:tcBorders>
              <w:top w:val="single" w:sz="4" w:space="0" w:color="000000"/>
            </w:tcBorders>
            <w:shd w:fill="auto" w:val="clear"/>
          </w:tcPr>
          <w:p>
            <w:pPr>
              <w:pStyle w:val="TableBody"/>
              <w:jc w:val="center"/>
              <w:rPr>
                <w:lang w:val="en-US"/>
              </w:rPr>
            </w:pPr>
            <w:r>
              <w:rPr>
                <w:lang w:val="en-US"/>
              </w:rPr>
              <w:t>-</w:t>
            </w:r>
          </w:p>
        </w:tc>
        <w:tc>
          <w:tcPr>
            <w:tcW w:w="963" w:type="dxa"/>
            <w:tcBorders>
              <w:top w:val="single" w:sz="4" w:space="0" w:color="000000"/>
            </w:tcBorders>
            <w:shd w:fill="auto" w:val="clear"/>
          </w:tcPr>
          <w:p>
            <w:pPr>
              <w:pStyle w:val="TableBody"/>
              <w:jc w:val="center"/>
              <w:rPr>
                <w:lang w:val="en-US"/>
              </w:rPr>
            </w:pPr>
            <w:r>
              <w:rPr>
                <w:lang w:val="en-US"/>
              </w:rPr>
              <w:t>-</w:t>
            </w:r>
          </w:p>
        </w:tc>
        <w:tc>
          <w:tcPr>
            <w:tcW w:w="964" w:type="dxa"/>
            <w:tcBorders>
              <w:top w:val="single" w:sz="4" w:space="0" w:color="000000"/>
            </w:tcBorders>
            <w:shd w:fill="auto" w:val="clear"/>
          </w:tcPr>
          <w:p>
            <w:pPr>
              <w:pStyle w:val="TableBody"/>
              <w:jc w:val="center"/>
              <w:rPr>
                <w:lang w:val="en-US"/>
              </w:rPr>
            </w:pPr>
            <w:r>
              <w:rPr>
                <w:lang w:val="en-US"/>
              </w:rPr>
              <w:t>-</w:t>
            </w:r>
          </w:p>
        </w:tc>
        <w:tc>
          <w:tcPr>
            <w:tcW w:w="845" w:type="dxa"/>
            <w:tcBorders>
              <w:top w:val="single" w:sz="4" w:space="0" w:color="000000"/>
            </w:tcBorders>
            <w:shd w:fill="auto" w:val="clear"/>
          </w:tcPr>
          <w:p>
            <w:pPr>
              <w:pStyle w:val="TableBody"/>
              <w:jc w:val="center"/>
              <w:rPr>
                <w:lang w:val="en-US"/>
              </w:rPr>
            </w:pPr>
            <w:r>
              <w:rPr>
                <w:lang w:val="en-US"/>
              </w:rPr>
              <w:t>16.1</w:t>
            </w:r>
          </w:p>
        </w:tc>
      </w:tr>
      <w:tr>
        <w:trPr/>
        <w:tc>
          <w:tcPr>
            <w:tcW w:w="1141" w:type="dxa"/>
            <w:tcBorders/>
            <w:shd w:fill="auto" w:val="clear"/>
          </w:tcPr>
          <w:p>
            <w:pPr>
              <w:pStyle w:val="TableBody"/>
              <w:jc w:val="left"/>
              <w:rPr>
                <w:lang w:val="en-US"/>
              </w:rPr>
            </w:pPr>
            <w:r>
              <w:rPr>
                <w:lang w:val="en-US"/>
              </w:rPr>
              <w:t>SLG with RCP-MS</w:t>
            </w:r>
          </w:p>
        </w:tc>
        <w:tc>
          <w:tcPr>
            <w:tcW w:w="930" w:type="dxa"/>
            <w:tcBorders/>
            <w:shd w:fill="auto" w:val="clear"/>
          </w:tcPr>
          <w:p>
            <w:pPr>
              <w:pStyle w:val="TableBody"/>
              <w:jc w:val="center"/>
              <w:rPr>
                <w:lang w:val="en-US"/>
              </w:rPr>
            </w:pPr>
            <w:r>
              <w:rPr>
                <w:lang w:val="en-US"/>
              </w:rPr>
              <w:t>1.5</w:t>
            </w:r>
          </w:p>
        </w:tc>
        <w:tc>
          <w:tcPr>
            <w:tcW w:w="891" w:type="dxa"/>
            <w:tcBorders/>
            <w:shd w:fill="auto" w:val="clear"/>
          </w:tcPr>
          <w:p>
            <w:pPr>
              <w:pStyle w:val="TableBody"/>
              <w:jc w:val="center"/>
              <w:rPr>
                <w:lang w:val="en-US"/>
              </w:rPr>
            </w:pPr>
            <w:r>
              <w:rPr>
                <w:lang w:val="en-US"/>
              </w:rPr>
              <w:t>-</w:t>
            </w:r>
          </w:p>
        </w:tc>
        <w:tc>
          <w:tcPr>
            <w:tcW w:w="938" w:type="dxa"/>
            <w:tcBorders/>
            <w:shd w:fill="auto" w:val="clear"/>
          </w:tcPr>
          <w:p>
            <w:pPr>
              <w:pStyle w:val="TableBody"/>
              <w:jc w:val="center"/>
              <w:rPr>
                <w:lang w:val="en-US"/>
              </w:rPr>
            </w:pPr>
            <w:r>
              <w:rPr>
                <w:lang w:val="en-US"/>
              </w:rPr>
              <w:t>54</w:t>
            </w:r>
          </w:p>
        </w:tc>
        <w:tc>
          <w:tcPr>
            <w:tcW w:w="939" w:type="dxa"/>
            <w:tcBorders/>
            <w:shd w:fill="auto" w:val="clear"/>
          </w:tcPr>
          <w:p>
            <w:pPr>
              <w:pStyle w:val="TableBody"/>
              <w:jc w:val="center"/>
              <w:rPr>
                <w:lang w:val="en-US"/>
              </w:rPr>
            </w:pPr>
            <w:r>
              <w:rPr>
                <w:lang w:val="en-US"/>
              </w:rPr>
              <w:t>-</w:t>
            </w:r>
          </w:p>
        </w:tc>
        <w:tc>
          <w:tcPr>
            <w:tcW w:w="858" w:type="dxa"/>
            <w:tcBorders/>
            <w:shd w:fill="auto" w:val="clear"/>
          </w:tcPr>
          <w:p>
            <w:pPr>
              <w:pStyle w:val="TableBody"/>
              <w:jc w:val="center"/>
              <w:rPr>
                <w:lang w:val="en-US"/>
              </w:rPr>
            </w:pPr>
            <w:r>
              <w:rPr>
                <w:lang w:val="en-US"/>
              </w:rPr>
              <w:t>27</w:t>
            </w:r>
          </w:p>
        </w:tc>
        <w:tc>
          <w:tcPr>
            <w:tcW w:w="858" w:type="dxa"/>
            <w:tcBorders/>
            <w:shd w:fill="auto" w:val="clear"/>
          </w:tcPr>
          <w:p>
            <w:pPr>
              <w:pStyle w:val="TableBody"/>
              <w:jc w:val="center"/>
              <w:rPr>
                <w:lang w:val="en-US"/>
              </w:rPr>
            </w:pPr>
            <w:r>
              <w:rPr>
                <w:lang w:val="en-US"/>
              </w:rPr>
              <w:t>27</w:t>
            </w:r>
          </w:p>
        </w:tc>
        <w:tc>
          <w:tcPr>
            <w:tcW w:w="858" w:type="dxa"/>
            <w:tcBorders/>
            <w:shd w:fill="auto" w:val="clear"/>
          </w:tcPr>
          <w:p>
            <w:pPr>
              <w:pStyle w:val="TableBody"/>
              <w:jc w:val="center"/>
              <w:rPr>
                <w:lang w:val="en-US"/>
              </w:rPr>
            </w:pPr>
            <w:r>
              <w:rPr>
                <w:lang w:val="en-US"/>
              </w:rPr>
              <w:t>5</w:t>
            </w:r>
          </w:p>
        </w:tc>
        <w:tc>
          <w:tcPr>
            <w:tcW w:w="963" w:type="dxa"/>
            <w:tcBorders/>
            <w:shd w:fill="auto" w:val="clear"/>
          </w:tcPr>
          <w:p>
            <w:pPr>
              <w:pStyle w:val="TableBody"/>
              <w:jc w:val="center"/>
              <w:rPr>
                <w:lang w:val="en-US"/>
              </w:rPr>
            </w:pPr>
            <w:r>
              <w:rPr>
                <w:lang w:val="en-US"/>
              </w:rPr>
              <w:t>3.18</w:t>
            </w:r>
          </w:p>
        </w:tc>
        <w:tc>
          <w:tcPr>
            <w:tcW w:w="964" w:type="dxa"/>
            <w:tcBorders/>
            <w:shd w:fill="auto" w:val="clear"/>
          </w:tcPr>
          <w:p>
            <w:pPr>
              <w:pStyle w:val="TableBody"/>
              <w:jc w:val="center"/>
              <w:rPr>
                <w:lang w:val="en-US"/>
              </w:rPr>
            </w:pPr>
            <w:r>
              <w:rPr>
                <w:lang w:val="en-US"/>
              </w:rPr>
              <w:t>0.93</w:t>
            </w:r>
          </w:p>
        </w:tc>
        <w:tc>
          <w:tcPr>
            <w:tcW w:w="845" w:type="dxa"/>
            <w:tcBorders/>
            <w:shd w:fill="auto" w:val="clear"/>
          </w:tcPr>
          <w:p>
            <w:pPr>
              <w:pStyle w:val="TableBody"/>
              <w:jc w:val="center"/>
              <w:rPr>
                <w:lang w:val="en-US"/>
              </w:rPr>
            </w:pPr>
            <w:r>
              <w:rPr>
                <w:lang w:val="en-US"/>
              </w:rPr>
              <w:t>16.1</w:t>
            </w:r>
          </w:p>
        </w:tc>
      </w:tr>
      <w:tr>
        <w:trPr/>
        <w:tc>
          <w:tcPr>
            <w:tcW w:w="1141" w:type="dxa"/>
            <w:tcBorders>
              <w:bottom w:val="single" w:sz="4" w:space="0" w:color="000000"/>
              <w:insideH w:val="single" w:sz="4" w:space="0" w:color="000000"/>
            </w:tcBorders>
            <w:shd w:fill="auto" w:val="clear"/>
          </w:tcPr>
          <w:p>
            <w:pPr>
              <w:pStyle w:val="TableBody"/>
              <w:jc w:val="left"/>
              <w:rPr>
                <w:lang w:val="en-US"/>
              </w:rPr>
            </w:pPr>
            <w:r>
              <w:rPr>
                <w:lang w:val="en-US"/>
              </w:rPr>
              <w:t>HApN with RCP-MS</w:t>
            </w:r>
          </w:p>
        </w:tc>
        <w:tc>
          <w:tcPr>
            <w:tcW w:w="930"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891" w:type="dxa"/>
            <w:tcBorders>
              <w:bottom w:val="single" w:sz="4" w:space="0" w:color="000000"/>
              <w:insideH w:val="single" w:sz="4" w:space="0" w:color="000000"/>
            </w:tcBorders>
            <w:shd w:fill="auto" w:val="clear"/>
          </w:tcPr>
          <w:p>
            <w:pPr>
              <w:pStyle w:val="TableBody"/>
              <w:jc w:val="center"/>
              <w:rPr>
                <w:lang w:val="en-US"/>
              </w:rPr>
            </w:pPr>
            <w:r>
              <w:rPr>
                <w:lang w:val="en-US"/>
              </w:rPr>
              <w:t>10</w:t>
            </w:r>
          </w:p>
        </w:tc>
        <w:tc>
          <w:tcPr>
            <w:tcW w:w="938"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939" w:type="dxa"/>
            <w:tcBorders>
              <w:bottom w:val="single" w:sz="4" w:space="0" w:color="000000"/>
              <w:insideH w:val="single" w:sz="4" w:space="0" w:color="000000"/>
            </w:tcBorders>
            <w:shd w:fill="auto" w:val="clear"/>
          </w:tcPr>
          <w:p>
            <w:pPr>
              <w:pStyle w:val="TableBody"/>
              <w:jc w:val="center"/>
              <w:rPr>
                <w:lang w:val="en-US"/>
              </w:rPr>
            </w:pPr>
            <w:r>
              <w:rPr>
                <w:lang w:val="en-US"/>
              </w:rPr>
              <w:t>27</w:t>
            </w:r>
          </w:p>
        </w:tc>
        <w:tc>
          <w:tcPr>
            <w:tcW w:w="858"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858" w:type="dxa"/>
            <w:tcBorders>
              <w:bottom w:val="single" w:sz="4" w:space="0" w:color="000000"/>
              <w:insideH w:val="single" w:sz="4" w:space="0" w:color="000000"/>
            </w:tcBorders>
            <w:shd w:fill="auto" w:val="clear"/>
          </w:tcPr>
          <w:p>
            <w:pPr>
              <w:pStyle w:val="TableBody"/>
              <w:jc w:val="center"/>
              <w:rPr>
                <w:lang w:val="en-US"/>
              </w:rPr>
            </w:pPr>
            <w:r>
              <w:rPr>
                <w:lang w:val="en-US"/>
              </w:rPr>
              <w:t>27</w:t>
            </w:r>
          </w:p>
        </w:tc>
        <w:tc>
          <w:tcPr>
            <w:tcW w:w="858"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963"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964" w:type="dxa"/>
            <w:tcBorders>
              <w:bottom w:val="single" w:sz="4" w:space="0" w:color="000000"/>
              <w:insideH w:val="single" w:sz="4" w:space="0" w:color="000000"/>
            </w:tcBorders>
            <w:shd w:fill="auto" w:val="clear"/>
          </w:tcPr>
          <w:p>
            <w:pPr>
              <w:pStyle w:val="TableBody"/>
              <w:jc w:val="center"/>
              <w:rPr>
                <w:lang w:val="en-US"/>
              </w:rPr>
            </w:pPr>
            <w:r>
              <w:rPr>
                <w:lang w:val="en-US"/>
              </w:rPr>
              <w:t>-</w:t>
            </w:r>
          </w:p>
        </w:tc>
        <w:tc>
          <w:tcPr>
            <w:tcW w:w="845" w:type="dxa"/>
            <w:tcBorders>
              <w:bottom w:val="single" w:sz="4" w:space="0" w:color="000000"/>
              <w:insideH w:val="single" w:sz="4" w:space="0" w:color="000000"/>
            </w:tcBorders>
            <w:shd w:fill="auto" w:val="clear"/>
          </w:tcPr>
          <w:p>
            <w:pPr>
              <w:pStyle w:val="TableBody"/>
              <w:jc w:val="center"/>
              <w:rPr>
                <w:lang w:val="en-US"/>
              </w:rPr>
            </w:pPr>
            <w:r>
              <w:rPr>
                <w:lang w:val="en-US"/>
              </w:rPr>
              <w:t>16.1</w:t>
            </w:r>
          </w:p>
        </w:tc>
      </w:tr>
    </w:tbl>
    <w:p>
      <w:pPr>
        <w:pStyle w:val="Normal"/>
        <w:rPr>
          <w:sz w:val="18"/>
          <w:szCs w:val="18"/>
        </w:rPr>
      </w:pPr>
      <w:r>
        <w:rPr>
          <w:sz w:val="18"/>
          <w:szCs w:val="18"/>
        </w:rPr>
      </w:r>
    </w:p>
    <w:p>
      <w:pPr>
        <w:pStyle w:val="Normal"/>
        <w:spacing w:lineRule="auto" w:line="480" w:before="0" w:after="0"/>
        <w:rPr>
          <w:rFonts w:ascii="Times-Roman" w:hAnsi="Times-Roman" w:cs="Times-Roman"/>
          <w:sz w:val="20"/>
          <w:szCs w:val="20"/>
        </w:rPr>
      </w:pPr>
      <w:r>
        <w:rPr>
          <w:rFonts w:cs="Times-Roman" w:ascii="Times-Roman" w:hAnsi="Times-Roman"/>
          <w:sz w:val="20"/>
          <w:szCs w:val="20"/>
        </w:rPr>
      </w:r>
    </w:p>
    <w:p>
      <w:pPr>
        <w:pStyle w:val="Normal"/>
        <w:spacing w:lineRule="auto" w:line="480"/>
        <w:jc w:val="both"/>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jc w:val="both"/>
        <w:rPr/>
      </w:pPr>
      <w:r>
        <w:rPr/>
      </w:r>
    </w:p>
    <w:p>
      <w:pPr>
        <w:pStyle w:val="Normal"/>
        <w:jc w:val="both"/>
        <w:rPr>
          <w:lang w:val="en-GB"/>
        </w:rPr>
      </w:pPr>
      <w:r>
        <w:rPr>
          <w:lang w:val="en-GB"/>
        </w:rPr>
      </w:r>
    </w:p>
    <w:p>
      <w:pPr>
        <w:pStyle w:val="Normal"/>
        <w:spacing w:lineRule="auto" w:line="240"/>
        <w:jc w:val="both"/>
        <w:rPr>
          <w:rFonts w:ascii="Times New Roman" w:hAnsi="Times New Roman" w:cs="Times New Roman"/>
          <w:iCs/>
          <w:sz w:val="24"/>
          <w:szCs w:val="24"/>
          <w:lang w:val="en-GB"/>
        </w:rPr>
      </w:pPr>
      <w:r>
        <w:rPr>
          <w:rFonts w:cs="Times New Roman" w:ascii="Times New Roman" w:hAnsi="Times New Roman"/>
          <w:iCs/>
          <w:sz w:val="24"/>
          <w:szCs w:val="24"/>
          <w:lang w:val="en-GB"/>
        </w:rPr>
        <mc:AlternateContent>
          <mc:Choice Requires="wps">
            <w:drawing>
              <wp:anchor behindDoc="0" distT="0" distB="0" distL="114300" distR="114300" simplePos="0" locked="0" layoutInCell="1" allowOverlap="1" relativeHeight="9" wp14:anchorId="30ECA6EE">
                <wp:simplePos x="0" y="0"/>
                <wp:positionH relativeFrom="column">
                  <wp:posOffset>1165225</wp:posOffset>
                </wp:positionH>
                <wp:positionV relativeFrom="paragraph">
                  <wp:posOffset>5473065</wp:posOffset>
                </wp:positionV>
                <wp:extent cx="178435" cy="343535"/>
                <wp:effectExtent l="0" t="38100" r="50800" b="19050"/>
                <wp:wrapNone/>
                <wp:docPr id="1" name="Straight Arrow Connector 9"/>
                <a:graphic xmlns:a="http://schemas.openxmlformats.org/drawingml/2006/main">
                  <a:graphicData uri="http://schemas.microsoft.com/office/word/2010/wordprocessingShape">
                    <wps:wsp>
                      <wps:cNvSpPr/>
                      <wps:spPr>
                        <a:xfrm flipV="1">
                          <a:off x="0" y="0"/>
                          <a:ext cx="177840" cy="3430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9" stroked="t" style="position:absolute;margin-left:91.75pt;margin-top:430.95pt;width:13.95pt;height:26.95pt;flip:y" wp14:anchorId="30ECA6EE"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0" wp14:anchorId="1A8D56E7">
                <wp:simplePos x="0" y="0"/>
                <wp:positionH relativeFrom="column">
                  <wp:posOffset>549275</wp:posOffset>
                </wp:positionH>
                <wp:positionV relativeFrom="paragraph">
                  <wp:posOffset>5047615</wp:posOffset>
                </wp:positionV>
                <wp:extent cx="419735" cy="51435"/>
                <wp:effectExtent l="0" t="57150" r="19050" b="44450"/>
                <wp:wrapNone/>
                <wp:docPr id="2" name="Straight Arrow Connector 13"/>
                <a:graphic xmlns:a="http://schemas.openxmlformats.org/drawingml/2006/main">
                  <a:graphicData uri="http://schemas.microsoft.com/office/word/2010/wordprocessingShape">
                    <wps:wsp>
                      <wps:cNvSpPr/>
                      <wps:spPr>
                        <a:xfrm flipV="1">
                          <a:off x="0" y="0"/>
                          <a:ext cx="419040" cy="5076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3" stroked="t" style="position:absolute;margin-left:43.25pt;margin-top:397.45pt;width:32.95pt;height:3.95pt;flip:y" wp14:anchorId="1A8D56E7"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1" wp14:anchorId="03AB0EEB">
                <wp:simplePos x="0" y="0"/>
                <wp:positionH relativeFrom="column">
                  <wp:posOffset>1729740</wp:posOffset>
                </wp:positionH>
                <wp:positionV relativeFrom="paragraph">
                  <wp:posOffset>5701665</wp:posOffset>
                </wp:positionV>
                <wp:extent cx="229235" cy="248285"/>
                <wp:effectExtent l="38100" t="38100" r="19050" b="19050"/>
                <wp:wrapNone/>
                <wp:docPr id="3" name="Straight Arrow Connector 14"/>
                <a:graphic xmlns:a="http://schemas.openxmlformats.org/drawingml/2006/main">
                  <a:graphicData uri="http://schemas.microsoft.com/office/word/2010/wordprocessingShape">
                    <wps:wsp>
                      <wps:cNvSpPr/>
                      <wps:spPr>
                        <a:xfrm flipH="1" flipV="1">
                          <a:off x="0" y="0"/>
                          <a:ext cx="228600" cy="2476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4" stroked="t" style="position:absolute;margin-left:136.2pt;margin-top:448.95pt;width:17.95pt;height:19.45pt;flip:xy" wp14:anchorId="03AB0EEB"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2" wp14:anchorId="14CA6027">
                <wp:simplePos x="0" y="0"/>
                <wp:positionH relativeFrom="column">
                  <wp:posOffset>2926715</wp:posOffset>
                </wp:positionH>
                <wp:positionV relativeFrom="paragraph">
                  <wp:posOffset>4977130</wp:posOffset>
                </wp:positionV>
                <wp:extent cx="178435" cy="343535"/>
                <wp:effectExtent l="0" t="38100" r="50800" b="19050"/>
                <wp:wrapNone/>
                <wp:docPr id="4" name="Straight Arrow Connector 15"/>
                <a:graphic xmlns:a="http://schemas.openxmlformats.org/drawingml/2006/main">
                  <a:graphicData uri="http://schemas.microsoft.com/office/word/2010/wordprocessingShape">
                    <wps:wsp>
                      <wps:cNvSpPr/>
                      <wps:spPr>
                        <a:xfrm flipV="1">
                          <a:off x="0" y="0"/>
                          <a:ext cx="177840" cy="3430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5" stroked="t" style="position:absolute;margin-left:230.45pt;margin-top:391.9pt;width:13.95pt;height:26.95pt;flip:y" wp14:anchorId="14CA6027"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3" wp14:anchorId="0F3214A2">
                <wp:simplePos x="0" y="0"/>
                <wp:positionH relativeFrom="column">
                  <wp:posOffset>2202815</wp:posOffset>
                </wp:positionH>
                <wp:positionV relativeFrom="paragraph">
                  <wp:posOffset>5548630</wp:posOffset>
                </wp:positionV>
                <wp:extent cx="419735" cy="51435"/>
                <wp:effectExtent l="0" t="57150" r="19050" b="44450"/>
                <wp:wrapNone/>
                <wp:docPr id="5" name="Straight Arrow Connector 16"/>
                <a:graphic xmlns:a="http://schemas.openxmlformats.org/drawingml/2006/main">
                  <a:graphicData uri="http://schemas.microsoft.com/office/word/2010/wordprocessingShape">
                    <wps:wsp>
                      <wps:cNvSpPr/>
                      <wps:spPr>
                        <a:xfrm flipV="1">
                          <a:off x="0" y="0"/>
                          <a:ext cx="419040" cy="5076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6" stroked="t" style="position:absolute;margin-left:173.45pt;margin-top:436.9pt;width:32.95pt;height:3.95pt;flip:y" wp14:anchorId="0F3214A2"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4" wp14:anchorId="4627804B">
                <wp:simplePos x="0" y="0"/>
                <wp:positionH relativeFrom="column">
                  <wp:posOffset>3999230</wp:posOffset>
                </wp:positionH>
                <wp:positionV relativeFrom="paragraph">
                  <wp:posOffset>5453380</wp:posOffset>
                </wp:positionV>
                <wp:extent cx="229235" cy="248285"/>
                <wp:effectExtent l="38100" t="38100" r="19050" b="19050"/>
                <wp:wrapNone/>
                <wp:docPr id="6" name="Straight Arrow Connector 18"/>
                <a:graphic xmlns:a="http://schemas.openxmlformats.org/drawingml/2006/main">
                  <a:graphicData uri="http://schemas.microsoft.com/office/word/2010/wordprocessingShape">
                    <wps:wsp>
                      <wps:cNvSpPr/>
                      <wps:spPr>
                        <a:xfrm flipH="1" flipV="1">
                          <a:off x="0" y="0"/>
                          <a:ext cx="228600" cy="2476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8" stroked="t" style="position:absolute;margin-left:314.9pt;margin-top:429.4pt;width:17.95pt;height:19.45pt;flip:xy" wp14:anchorId="4627804B"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5" wp14:anchorId="1C5AA71C">
                <wp:simplePos x="0" y="0"/>
                <wp:positionH relativeFrom="column">
                  <wp:posOffset>5200015</wp:posOffset>
                </wp:positionH>
                <wp:positionV relativeFrom="paragraph">
                  <wp:posOffset>5383530</wp:posOffset>
                </wp:positionV>
                <wp:extent cx="178435" cy="343535"/>
                <wp:effectExtent l="0" t="38100" r="50800" b="19050"/>
                <wp:wrapNone/>
                <wp:docPr id="7" name="Straight Arrow Connector 19"/>
                <a:graphic xmlns:a="http://schemas.openxmlformats.org/drawingml/2006/main">
                  <a:graphicData uri="http://schemas.microsoft.com/office/word/2010/wordprocessingShape">
                    <wps:wsp>
                      <wps:cNvSpPr/>
                      <wps:spPr>
                        <a:xfrm flipV="1">
                          <a:off x="0" y="0"/>
                          <a:ext cx="177840" cy="3430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19" stroked="t" style="position:absolute;margin-left:409.45pt;margin-top:423.9pt;width:13.95pt;height:26.95pt;flip:y" wp14:anchorId="1C5AA71C"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6" wp14:anchorId="3C433C07">
                <wp:simplePos x="0" y="0"/>
                <wp:positionH relativeFrom="column">
                  <wp:posOffset>4893310</wp:posOffset>
                </wp:positionH>
                <wp:positionV relativeFrom="paragraph">
                  <wp:posOffset>5823585</wp:posOffset>
                </wp:positionV>
                <wp:extent cx="57785" cy="286385"/>
                <wp:effectExtent l="19050" t="0" r="57150" b="57150"/>
                <wp:wrapNone/>
                <wp:docPr id="8" name="Straight Arrow Connector 20"/>
                <a:graphic xmlns:a="http://schemas.openxmlformats.org/drawingml/2006/main">
                  <a:graphicData uri="http://schemas.microsoft.com/office/word/2010/wordprocessingShape">
                    <wps:wsp>
                      <wps:cNvSpPr/>
                      <wps:spPr>
                        <a:xfrm>
                          <a:off x="0" y="0"/>
                          <a:ext cx="57240" cy="28584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20" stroked="t" style="position:absolute;margin-left:385.3pt;margin-top:458.55pt;width:4.45pt;height:22.45pt" wp14:anchorId="3C433C07" type="shapetype_32">
                <w10:wrap type="none"/>
                <v:fill o:detectmouseclick="t" on="false"/>
                <v:stroke color="white" weight="19080" endarrow="block" endarrowwidth="medium" endarrowlength="medium" joinstyle="round" endcap="flat"/>
              </v:shape>
            </w:pict>
          </mc:Fallback>
        </mc:AlternateContent>
        <mc:AlternateContent>
          <mc:Choice Requires="wps">
            <w:drawing>
              <wp:anchor behindDoc="0" distT="0" distB="0" distL="114300" distR="114300" simplePos="0" locked="0" layoutInCell="1" allowOverlap="1" relativeHeight="17" wp14:anchorId="37A7282C">
                <wp:simplePos x="0" y="0"/>
                <wp:positionH relativeFrom="column">
                  <wp:posOffset>6183630</wp:posOffset>
                </wp:positionH>
                <wp:positionV relativeFrom="paragraph">
                  <wp:posOffset>6024880</wp:posOffset>
                </wp:positionV>
                <wp:extent cx="229235" cy="248285"/>
                <wp:effectExtent l="38100" t="38100" r="19050" b="19050"/>
                <wp:wrapNone/>
                <wp:docPr id="9" name="Straight Arrow Connector 21"/>
                <a:graphic xmlns:a="http://schemas.openxmlformats.org/drawingml/2006/main">
                  <a:graphicData uri="http://schemas.microsoft.com/office/word/2010/wordprocessingShape">
                    <wps:wsp>
                      <wps:cNvSpPr/>
                      <wps:spPr>
                        <a:xfrm flipH="1" flipV="1">
                          <a:off x="0" y="0"/>
                          <a:ext cx="228600" cy="247680"/>
                        </a:xfrm>
                        <a:custGeom>
                          <a:avLst/>
                          <a:gdLst/>
                          <a:ahLst/>
                          <a:rect l="l" t="t" r="r" b="b"/>
                          <a:pathLst>
                            <a:path w="21600" h="21600">
                              <a:moveTo>
                                <a:pt x="0" y="0"/>
                              </a:moveTo>
                              <a:lnTo>
                                <a:pt x="21600" y="21600"/>
                              </a:lnTo>
                            </a:path>
                          </a:pathLst>
                        </a:custGeom>
                        <a:noFill/>
                        <a:ln w="19080">
                          <a:solidFill>
                            <a:schemeClr val="bg1"/>
                          </a:solidFill>
                          <a:round/>
                          <a:tailEnd len="med" type="triangle"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Straight Arrow Connector 21" stroked="t" style="position:absolute;margin-left:486.9pt;margin-top:474.4pt;width:17.95pt;height:19.45pt;flip:xy" wp14:anchorId="37A7282C" type="shapetype_32">
                <w10:wrap type="none"/>
                <v:fill o:detectmouseclick="t" on="false"/>
                <v:stroke color="white" weight="19080" endarrow="block" endarrowwidth="medium" endarrowlength="medium" joinstyle="round" endcap="flat"/>
              </v:shape>
            </w:pict>
          </mc:Fallback>
        </mc:AlternateContent>
        <w:drawing>
          <wp:anchor behindDoc="0" distT="0" distB="0" distL="114300" distR="114300" simplePos="0" locked="0" layoutInCell="1" allowOverlap="1" relativeHeight="8">
            <wp:simplePos x="0" y="0"/>
            <wp:positionH relativeFrom="margin">
              <wp:posOffset>-412115</wp:posOffset>
            </wp:positionH>
            <wp:positionV relativeFrom="margin">
              <wp:posOffset>-439420</wp:posOffset>
            </wp:positionV>
            <wp:extent cx="7371080" cy="6961505"/>
            <wp:effectExtent l="0" t="0" r="0" b="0"/>
            <wp:wrapSquare wrapText="bothSides"/>
            <wp:docPr id="1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
                    <pic:cNvPicPr>
                      <a:picLocks noChangeAspect="1" noChangeArrowheads="1"/>
                    </pic:cNvPicPr>
                  </pic:nvPicPr>
                  <pic:blipFill>
                    <a:blip r:embed="rId3"/>
                    <a:stretch>
                      <a:fillRect/>
                    </a:stretch>
                  </pic:blipFill>
                  <pic:spPr bwMode="auto">
                    <a:xfrm>
                      <a:off x="0" y="0"/>
                      <a:ext cx="7371080" cy="6961505"/>
                    </a:xfrm>
                    <a:prstGeom prst="rect">
                      <a:avLst/>
                    </a:prstGeom>
                  </pic:spPr>
                </pic:pic>
              </a:graphicData>
            </a:graphic>
          </wp:anchor>
        </w:drawing>
      </w:r>
    </w:p>
    <w:p>
      <w:pPr>
        <w:pStyle w:val="Normal"/>
        <w:spacing w:lineRule="auto" w:line="240"/>
        <w:jc w:val="both"/>
        <w:rPr>
          <w:rFonts w:ascii="Times New Roman" w:hAnsi="Times New Roman" w:cs="Times New Roman"/>
          <w:iCs/>
          <w:sz w:val="24"/>
          <w:szCs w:val="24"/>
        </w:rPr>
      </w:pPr>
      <w:r>
        <w:rPr>
          <w:rFonts w:cs="Times New Roman" w:ascii="Times New Roman" w:hAnsi="Times New Roman"/>
          <w:b/>
          <w:bCs/>
          <w:iCs/>
          <w:sz w:val="24"/>
          <w:szCs w:val="24"/>
        </w:rPr>
        <w:t xml:space="preserve">Figure 1. Mechanical properties of the SLM+RCP-MS, SLG+RCP-MS and HApN+RCP-MS formulations. </w:t>
      </w:r>
      <w:r>
        <w:rPr>
          <w:rFonts w:cs="Times New Roman" w:ascii="Times New Roman" w:hAnsi="Times New Roman"/>
          <w:iCs/>
          <w:sz w:val="24"/>
          <w:szCs w:val="24"/>
        </w:rPr>
        <w:t>Schemes illustrate the network of hydrogel with microspheres; grey: RCP-MS with CaCO</w:t>
      </w:r>
      <w:r>
        <w:rPr>
          <w:rFonts w:cs="Times New Roman" w:ascii="Times New Roman" w:hAnsi="Times New Roman"/>
          <w:iCs/>
          <w:sz w:val="24"/>
          <w:szCs w:val="24"/>
          <w:vertAlign w:val="subscript"/>
        </w:rPr>
        <w:t>3</w:t>
      </w:r>
      <w:r>
        <w:rPr>
          <w:rFonts w:cs="Times New Roman" w:ascii="Times New Roman" w:hAnsi="Times New Roman"/>
          <w:iCs/>
          <w:sz w:val="24"/>
          <w:szCs w:val="24"/>
        </w:rPr>
        <w:t>, blue: SLM and SLG alginate, black: calcium ions</w:t>
      </w:r>
      <w:r>
        <w:rPr>
          <w:rFonts w:cs="Times New Roman" w:ascii="Times New Roman" w:hAnsi="Times New Roman"/>
          <w:i/>
          <w:iCs/>
          <w:sz w:val="24"/>
          <w:szCs w:val="24"/>
        </w:rPr>
        <w:t xml:space="preserve">, </w:t>
      </w:r>
      <w:r>
        <w:rPr>
          <w:rFonts w:cs="Times New Roman" w:ascii="Times New Roman" w:hAnsi="Times New Roman"/>
          <w:iCs/>
          <w:sz w:val="24"/>
          <w:szCs w:val="24"/>
        </w:rPr>
        <w:t>red: HApN and green: RCP-MS without CaCO</w:t>
      </w:r>
      <w:r>
        <w:rPr>
          <w:rFonts w:cs="Times New Roman" w:ascii="Times New Roman" w:hAnsi="Times New Roman"/>
          <w:iCs/>
          <w:sz w:val="24"/>
          <w:szCs w:val="24"/>
          <w:vertAlign w:val="subscript"/>
        </w:rPr>
        <w:t>3</w:t>
      </w:r>
      <w:r>
        <w:rPr>
          <w:rFonts w:cs="Times New Roman" w:ascii="Times New Roman" w:hAnsi="Times New Roman"/>
          <w:iCs/>
          <w:sz w:val="24"/>
          <w:szCs w:val="24"/>
        </w:rPr>
        <w:t>. A. Thixotropic behavior of the alginate hydrogel formulations containing SLM or SLG alginate and calcium comprising RCP-MS is shown by rheology. GDL was added to the SLG alginate formulation to keep the rheological properties of both types of alginate formulations similar. In both formulations, gel is disrupted under shear stress and hydrogels recuperate when stress is removed within 30 sec. B. The thermo-responsiveness of the HApN hydrogel with microspheres is shown by rheology. Gel is formed when suspension is heated to 40 °C and the viscous liquid state forms when the gel is cooled to 15 °C. C.</w:t>
      </w:r>
      <w:r>
        <w:rPr/>
        <w:t xml:space="preserve"> </w:t>
      </w:r>
      <w:r>
        <w:rPr>
          <w:rFonts w:cs="Times New Roman" w:ascii="Times New Roman" w:hAnsi="Times New Roman"/>
          <w:iCs/>
          <w:sz w:val="24"/>
          <w:szCs w:val="24"/>
        </w:rPr>
        <w:t xml:space="preserve">SEM images of the SLM+RCP-MS, SLG+RCP-MS and HApN+RCP-MS formulations </w:t>
      </w:r>
      <w:r>
        <w:rPr>
          <w:rFonts w:cs="Times New Roman" w:ascii="Times New Roman" w:hAnsi="Times New Roman"/>
          <w:bCs/>
          <w:iCs/>
          <w:sz w:val="24"/>
          <w:szCs w:val="18"/>
        </w:rPr>
        <w:t xml:space="preserve">(scale bar is 100 μm). </w:t>
      </w:r>
      <w:r>
        <w:rPr>
          <w:rFonts w:cs="Times New Roman" w:ascii="Times New Roman" w:hAnsi="Times New Roman"/>
          <w:iCs/>
          <w:sz w:val="24"/>
          <w:szCs w:val="18"/>
          <w:lang w:val="en-GB"/>
        </w:rPr>
        <w:t>The square grid shows one of the areas of the HApN formulation in which RCP-MS fully embedded in the hydrogel are observed. Arrows indicate RCP-MS</w:t>
      </w:r>
    </w:p>
    <w:p>
      <w:pPr>
        <w:pStyle w:val="Normal"/>
        <w:spacing w:lineRule="auto" w:line="240"/>
        <w:jc w:val="both"/>
        <w:rPr>
          <w:rFonts w:ascii="Times New Roman" w:hAnsi="Times New Roman" w:cs="Times New Roman"/>
          <w:iCs/>
          <w:sz w:val="24"/>
          <w:szCs w:val="24"/>
          <w:lang w:val="en-GB"/>
        </w:rPr>
      </w:pPr>
      <w:r>
        <w:rPr>
          <w:rFonts w:cs="Times New Roman" w:ascii="Times New Roman" w:hAnsi="Times New Roman"/>
          <w:iCs/>
          <w:sz w:val="24"/>
          <w:szCs w:val="24"/>
          <w:lang w:val="en-GB"/>
        </w:rPr>
      </w:r>
    </w:p>
    <w:p>
      <w:pPr>
        <w:pStyle w:val="Subtitle"/>
        <w:spacing w:lineRule="auto" w:line="360"/>
        <w:jc w:val="both"/>
        <w:rPr>
          <w:rFonts w:ascii="Times New Roman" w:hAnsi="Times New Roman" w:cs="Times New Roman"/>
          <w:sz w:val="24"/>
        </w:rPr>
      </w:pPr>
      <w:r>
        <w:rPr>
          <w:rFonts w:cs="Times New Roman" w:ascii="Times New Roman" w:hAnsi="Times New Roman"/>
          <w:sz w:val="24"/>
        </w:rPr>
        <w:t>2.2. HApN-microsphere formulation have thermoresponsive behavior</w:t>
      </w:r>
    </w:p>
    <w:p>
      <w:pPr>
        <w:pStyle w:val="Normal"/>
        <w:spacing w:lineRule="auto" w:line="480"/>
        <w:jc w:val="both"/>
        <w:rPr/>
      </w:pPr>
      <w:r>
        <w:rPr>
          <w:rFonts w:cs="Times New Roman" w:ascii="Times New Roman" w:hAnsi="Times New Roman"/>
          <w:sz w:val="24"/>
          <w:szCs w:val="24"/>
        </w:rPr>
        <w:t xml:space="preserve">HApN hydrogel grafted with PNIPAM has an intrinsic property of thermo-inducible gel formation as shown earlier by D’Este </w:t>
      </w:r>
      <w:r>
        <w:rPr>
          <w:rFonts w:cs="Times New Roman" w:ascii="Times New Roman" w:hAnsi="Times New Roman"/>
          <w:i/>
          <w:sz w:val="24"/>
          <w:szCs w:val="24"/>
        </w:rPr>
        <w:t>et al.</w:t>
      </w:r>
      <w:r>
        <w:rPr>
          <w:rFonts w:cs="Times New Roman" w:ascii="Times New Roman" w:hAnsi="Times New Roman"/>
          <w:sz w:val="24"/>
          <w:szCs w:val="24"/>
        </w:rPr>
        <w:t xml:space="preserve"> </w:t>
      </w:r>
      <w:r>
        <w:fldChar w:fldCharType="begin"/>
      </w:r>
      <w:r>
        <w:rPr/>
        <w:instrText>ADDIN EN.CITE &lt;EndNote&gt;&lt;Cite&gt;&lt;Author&gt;D&amp;apos;Este&lt;/Author&gt;&lt;Year&gt;2012&lt;/Year&gt;&lt;RecNum&gt;23&lt;/RecNum&gt;&lt;DisplayText&gt;&lt;style face="superscript"&gt;[22]&lt;/style&gt;&lt;/DisplayText&gt;&lt;record&gt;&lt;rec-number&gt;23&lt;/rec-number&gt;&lt;foreign-keys&gt;&lt;key app="EN" db-id="wdds2t9tiwvf9mee0ac52ewfxse5dwxfx9ad" timestamp="1513894149"&gt;23&lt;/key&gt;&lt;/foreign-keys&gt;&lt;ref-type name="Journal Article"&gt;17&lt;/ref-type&gt;&lt;contributors&gt;&lt;authors&gt;&lt;author&gt;D&amp;apos;Este, M.&lt;/author&gt;&lt;author&gt;Alini, M.&lt;/author&gt;&lt;author&gt;Eglin, D.&lt;/author&gt;&lt;/authors&gt;&lt;/contributors&gt;&lt;auth-address&gt;AO Research Institute Davos, Clavadelerstrasse 8, 7270 Davos, Switzerland. matteo.deste@aofoundation.org&lt;/auth-address&gt;&lt;titles&gt;&lt;title&gt;Single step synthesis and characterization of thermoresponsive hyaluronan hydrogels&lt;/title&gt;&lt;secondary-title&gt;Carbohydr Polym&lt;/secondary-title&gt;&lt;/titles&gt;&lt;periodical&gt;&lt;full-title&gt;Carbohydrate Polymers&lt;/full-title&gt;&lt;abbr-1&gt;Carbohydr. Polym.&lt;/abbr-1&gt;&lt;abbr-2&gt;Carbohydr Polym&lt;/abbr-2&gt;&lt;/periodical&gt;&lt;pages&gt;1378-85&lt;/pages&gt;&lt;volume&gt;90&lt;/volume&gt;&lt;number&gt;3&lt;/number&gt;&lt;edition&gt;2012/09/04&lt;/edition&gt;&lt;keywords&gt;&lt;keyword&gt;Acrylic Resins/*chemistry&lt;/keyword&gt;&lt;keyword&gt;Hot Temperature&lt;/keyword&gt;&lt;keyword&gt;Hyaluronic Acid/*chemical synthesis/chemistry&lt;/keyword&gt;&lt;keyword&gt;Hydrogels/*chemical synthesis/chemistry&lt;/keyword&gt;&lt;keyword&gt;Hydrophobic and Hydrophilic Interactions&lt;/keyword&gt;&lt;/keywords&gt;&lt;dates&gt;&lt;year&gt;2012&lt;/year&gt;&lt;pub-dates&gt;&lt;date&gt;Oct 15&lt;/date&gt;&lt;/pub-dates&gt;&lt;/dates&gt;&lt;isbn&gt;1879-1344 (Electronic)&amp;#xD;0144-8617 (Linking)&lt;/isbn&gt;&lt;accession-num&gt;22939354&lt;/accession-num&gt;&lt;urls&gt;&lt;related-urls&gt;&lt;url&gt;http://www.ncbi.nlm.nih.gov/pubmed/22939354&lt;/url&gt;&lt;/related-urls&gt;&lt;/urls&gt;&lt;electronic-resource-num&gt;S0144-8617(12)00663-7 [pii]&amp;#xD;10.1016/j.carbpol.2012.07.007&lt;/electronic-resource-num&gt;&lt;language&gt;eng&lt;/language&gt;&lt;/record&gt;&lt;/Cite&gt;&lt;/EndNote&gt;</w:instrText>
      </w:r>
      <w:r>
        <w:rPr/>
        <w:fldChar w:fldCharType="separate"/>
      </w:r>
      <w:bookmarkStart w:id="41" w:name="__Fieldmark__1024_1302293411"/>
      <w:r>
        <w:rPr/>
      </w:r>
      <w:r>
        <w:rPr>
          <w:rFonts w:cs="Times New Roman" w:ascii="Times New Roman" w:hAnsi="Times New Roman"/>
          <w:sz w:val="24"/>
          <w:szCs w:val="24"/>
          <w:vertAlign w:val="superscript"/>
        </w:rPr>
        <w:t>[22]</w:t>
      </w:r>
      <w:r>
        <w:rPr/>
      </w:r>
      <w:r>
        <w:rPr/>
        <w:fldChar w:fldCharType="end"/>
      </w:r>
      <w:bookmarkEnd w:id="41"/>
      <w:r>
        <w:rPr>
          <w:rFonts w:cs="Times New Roman" w:ascii="Times New Roman" w:hAnsi="Times New Roman"/>
          <w:sz w:val="24"/>
          <w:szCs w:val="24"/>
        </w:rPr>
        <w:t>. In combination with microspheres the thermoresponsive behavior was retained, which can be seen by the mechanical characterization of the hydrogel at increasing and decreasing temperatures between 15 °C and 40 °C (</w:t>
      </w:r>
      <w:r>
        <w:rPr>
          <w:rFonts w:cs="Times New Roman" w:ascii="Times New Roman" w:hAnsi="Times New Roman"/>
          <w:b/>
          <w:sz w:val="24"/>
          <w:szCs w:val="24"/>
        </w:rPr>
        <w:t>Figure 1B</w:t>
      </w:r>
      <w:r>
        <w:rPr>
          <w:rFonts w:cs="Times New Roman" w:ascii="Times New Roman" w:hAnsi="Times New Roman"/>
          <w:sz w:val="24"/>
          <w:szCs w:val="24"/>
        </w:rPr>
        <w:t>). In the cooling phase, there was a change from the gel state to the liquid state whereas in the heating phase, liquid to gel transition occurs. Both the storage modulus and loss modulus of the formed gel increased to 5 kPa at 37 °C.</w:t>
      </w:r>
    </w:p>
    <w:p>
      <w:pPr>
        <w:pStyle w:val="Normal"/>
        <w:spacing w:lineRule="auto" w:line="480"/>
        <w:jc w:val="both"/>
        <w:rPr>
          <w:rFonts w:ascii="Times New Roman" w:hAnsi="Times New Roman" w:cs="Times New Roman"/>
          <w:sz w:val="24"/>
          <w:szCs w:val="24"/>
        </w:rPr>
      </w:pPr>
      <w:r>
        <w:rPr>
          <w:rFonts w:eastAsia="" w:cs="Times New Roman" w:ascii="Times New Roman" w:hAnsi="Times New Roman" w:eastAsiaTheme="majorEastAsia"/>
          <w:b/>
          <w:iCs/>
          <w:spacing w:val="15"/>
          <w:sz w:val="24"/>
          <w:szCs w:val="24"/>
        </w:rPr>
        <w:t>2.3. BMP-2 release from HApN-MS hydrogel was lower than alginate-MS hydrogels</w:t>
      </w:r>
    </w:p>
    <w:p>
      <w:pPr>
        <w:pStyle w:val="Normal"/>
        <w:spacing w:lineRule="auto" w:line="480"/>
        <w:jc w:val="both"/>
        <w:rPr/>
      </w:pPr>
      <w:bookmarkStart w:id="42" w:name="OLE_LINK7"/>
      <w:r>
        <w:rPr>
          <w:rFonts w:cs="Times New Roman" w:ascii="Times New Roman" w:hAnsi="Times New Roman"/>
          <w:sz w:val="24"/>
        </w:rPr>
        <w:t xml:space="preserve">Apart from the injectability of the hydrogel, the ability of the hydrogels to provide sustained BMP-2 release is important for bone formation. </w:t>
      </w:r>
      <w:r>
        <w:rPr>
          <w:rFonts w:cs="Times New Roman" w:ascii="Times New Roman" w:hAnsi="Times New Roman"/>
          <w:sz w:val="24"/>
          <w:szCs w:val="24"/>
        </w:rPr>
        <w:t xml:space="preserve">We have showed earlier that there is a specific interaction between BMP-2 and RCP </w:t>
      </w:r>
      <w:r>
        <w:fldChar w:fldCharType="begin"/>
      </w:r>
      <w:r>
        <w:rPr/>
        <w:instrText>ADDIN EN.CITE</w:instrText>
      </w:r>
      <w:r>
        <w:rPr/>
        <w:fldChar w:fldCharType="separate"/>
      </w:r>
      <w:bookmarkStart w:id="43" w:name="__Fieldmark__1060_1302293411"/>
      <w:r>
        <w:rPr/>
      </w:r>
      <w:r>
        <w:rPr/>
      </w:r>
      <w:r>
        <w:rPr/>
        <w:fldChar w:fldCharType="end"/>
      </w:r>
      <w:r>
        <w:fldChar w:fldCharType="begin"/>
      </w:r>
      <w:r>
        <w:rPr/>
        <w:instrText>ADDIN EN.CITE.DATA</w:instrText>
      </w:r>
      <w:r>
        <w:rPr/>
        <w:fldChar w:fldCharType="separate"/>
      </w:r>
      <w:bookmarkStart w:id="44" w:name="__Fieldmark__1059_1302293411"/>
      <w:bookmarkEnd w:id="43"/>
      <w:r>
        <w:rPr/>
      </w:r>
      <w:r>
        <w:rPr>
          <w:rFonts w:cs="Times New Roman" w:ascii="Times New Roman" w:hAnsi="Times New Roman"/>
          <w:sz w:val="24"/>
          <w:szCs w:val="24"/>
          <w:vertAlign w:val="superscript"/>
        </w:rPr>
        <w:t>[10c]</w:t>
      </w:r>
      <w:r>
        <w:rPr/>
      </w:r>
      <w:r>
        <w:rPr/>
        <w:fldChar w:fldCharType="end"/>
      </w:r>
      <w:bookmarkEnd w:id="44"/>
      <w:r>
        <w:rPr>
          <w:rFonts w:cs="Times New Roman" w:ascii="Times New Roman" w:hAnsi="Times New Roman"/>
          <w:sz w:val="24"/>
          <w:szCs w:val="24"/>
        </w:rPr>
        <w:t xml:space="preserve">. Here, </w:t>
      </w:r>
      <w:r>
        <w:rPr>
          <w:rFonts w:cs="Times New Roman" w:ascii="Times New Roman" w:hAnsi="Times New Roman"/>
          <w:sz w:val="24"/>
        </w:rPr>
        <w:t>the release of BMP-2 from the hydrogels+RCP-MS formulations was studied and compared to hydrogel or RCP-MS only conditions. Both alginate hydrogels with RCP-MS released BMP-2 slower than alginate without RCP-MS, showing the synergistic effect of microspheres and hydrogels to control the release (</w:t>
      </w:r>
      <w:r>
        <w:rPr>
          <w:rFonts w:cs="Times New Roman" w:ascii="Times New Roman" w:hAnsi="Times New Roman"/>
          <w:b/>
          <w:sz w:val="24"/>
        </w:rPr>
        <w:t>Figure 2A</w:t>
      </w:r>
      <w:r>
        <w:rPr>
          <w:rFonts w:cs="Times New Roman" w:ascii="Times New Roman" w:hAnsi="Times New Roman"/>
          <w:sz w:val="24"/>
        </w:rPr>
        <w:t xml:space="preserve">). During the time-course study of two weeks, ~ 10 % of BMP-2 (202 ± 42 ng; mean ± SD) was released from SLG+RCP-MS formulation and only ~ 2 % (46 ± 23 ng; mean ± SD) was released from SLM+RCP-MS formulation. The numbers indicated that the majority of BMP-2 was retained in the alginate-RCP-MS formulations. </w:t>
      </w:r>
      <w:r>
        <w:rPr>
          <w:rFonts w:cs="Times New Roman" w:ascii="Times New Roman" w:hAnsi="Times New Roman"/>
          <w:sz w:val="24"/>
          <w:szCs w:val="24"/>
        </w:rPr>
        <w:t xml:space="preserve">These results suggest that a similar slow-degradation of the RCP-MS will also occur </w:t>
      </w:r>
      <w:r>
        <w:rPr>
          <w:rFonts w:cs="Times New Roman" w:ascii="Times New Roman" w:hAnsi="Times New Roman"/>
          <w:i/>
          <w:sz w:val="24"/>
          <w:szCs w:val="24"/>
        </w:rPr>
        <w:t xml:space="preserve">in vivo </w:t>
      </w:r>
      <w:r>
        <w:rPr>
          <w:rFonts w:cs="Times New Roman" w:ascii="Times New Roman" w:hAnsi="Times New Roman"/>
          <w:sz w:val="24"/>
          <w:szCs w:val="24"/>
        </w:rPr>
        <w:t>as observed by the gradual shrinkage and breakdown of the microspheres over time.</w:t>
      </w:r>
    </w:p>
    <w:p>
      <w:pPr>
        <w:pStyle w:val="Normal"/>
        <w:jc w:val="both"/>
        <w:rPr>
          <w:b/>
          <w:b/>
          <w:bCs/>
          <w:i/>
          <w:i/>
          <w:iCs/>
          <w:sz w:val="18"/>
          <w:szCs w:val="18"/>
        </w:rPr>
      </w:pPr>
      <w:r>
        <w:rPr>
          <w:b/>
          <w:bCs/>
          <w:i/>
          <w:iCs/>
          <w:sz w:val="18"/>
          <w:szCs w:val="18"/>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drawing>
          <wp:anchor behindDoc="0" distT="0" distB="0" distL="114300" distR="114300" simplePos="0" locked="0" layoutInCell="1" allowOverlap="1" relativeHeight="2">
            <wp:simplePos x="0" y="0"/>
            <wp:positionH relativeFrom="margin">
              <wp:posOffset>1216025</wp:posOffset>
            </wp:positionH>
            <wp:positionV relativeFrom="margin">
              <wp:posOffset>410845</wp:posOffset>
            </wp:positionV>
            <wp:extent cx="3912235" cy="4361815"/>
            <wp:effectExtent l="0" t="0" r="0" b="0"/>
            <wp:wrapSquare wrapText="bothSides"/>
            <wp:docPr id="1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
                    <pic:cNvPicPr>
                      <a:picLocks noChangeAspect="1" noChangeArrowheads="1"/>
                    </pic:cNvPicPr>
                  </pic:nvPicPr>
                  <pic:blipFill>
                    <a:blip r:embed="rId4"/>
                    <a:stretch>
                      <a:fillRect/>
                    </a:stretch>
                  </pic:blipFill>
                  <pic:spPr bwMode="auto">
                    <a:xfrm>
                      <a:off x="0" y="0"/>
                      <a:ext cx="3912235" cy="4361815"/>
                    </a:xfrm>
                    <a:prstGeom prst="rect">
                      <a:avLst/>
                    </a:prstGeom>
                  </pic:spPr>
                </pic:pic>
              </a:graphicData>
            </a:graphic>
          </wp:anchor>
        </w:drawing>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
          <w:b/>
          <w:bCs/>
          <w:iCs/>
          <w:sz w:val="24"/>
          <w:szCs w:val="24"/>
        </w:rPr>
      </w:pPr>
      <w:r>
        <w:rPr>
          <w:rFonts w:cs="Times New Roman" w:ascii="Times New Roman" w:hAnsi="Times New Roman"/>
          <w:b/>
          <w:bCs/>
          <w:iCs/>
          <w:sz w:val="24"/>
          <w:szCs w:val="24"/>
        </w:rPr>
      </w:r>
    </w:p>
    <w:p>
      <w:pPr>
        <w:pStyle w:val="Normal"/>
        <w:spacing w:lineRule="auto" w:line="240"/>
        <w:jc w:val="both"/>
        <w:rPr>
          <w:rFonts w:ascii="Times New Roman" w:hAnsi="Times New Roman" w:cs="Times New Roman"/>
          <w:bCs/>
          <w:iCs/>
          <w:sz w:val="24"/>
          <w:szCs w:val="18"/>
        </w:rPr>
      </w:pPr>
      <w:r>
        <w:rPr>
          <w:rFonts w:cs="Times New Roman" w:ascii="Times New Roman" w:hAnsi="Times New Roman"/>
          <w:b/>
          <w:bCs/>
          <w:iCs/>
          <w:sz w:val="24"/>
          <w:szCs w:val="24"/>
        </w:rPr>
        <w:t>Figure 2. In vitro BMP-2 release from the A. SLM alginate, SLG alginate formulations and collagen-I based recombinant peptide microspheres (RCP-MS) containing CaCO</w:t>
      </w:r>
      <w:r>
        <w:rPr>
          <w:rFonts w:cs="Times New Roman" w:ascii="Times New Roman" w:hAnsi="Times New Roman"/>
          <w:b/>
          <w:bCs/>
          <w:iCs/>
          <w:sz w:val="24"/>
          <w:szCs w:val="24"/>
          <w:vertAlign w:val="subscript"/>
        </w:rPr>
        <w:t>3</w:t>
      </w:r>
      <w:r>
        <w:rPr>
          <w:rFonts w:cs="Times New Roman" w:ascii="Times New Roman" w:hAnsi="Times New Roman"/>
          <w:b/>
          <w:bCs/>
          <w:iCs/>
          <w:sz w:val="24"/>
          <w:szCs w:val="24"/>
        </w:rPr>
        <w:t xml:space="preserve"> and B. from hyaluronic acid-pN (HApN) formulations and RCP-MS without CaCO</w:t>
      </w:r>
      <w:r>
        <w:rPr>
          <w:rFonts w:cs="Times New Roman" w:ascii="Times New Roman" w:hAnsi="Times New Roman"/>
          <w:b/>
          <w:bCs/>
          <w:iCs/>
          <w:sz w:val="24"/>
          <w:szCs w:val="24"/>
          <w:vertAlign w:val="subscript"/>
        </w:rPr>
        <w:t>3</w:t>
      </w:r>
      <w:r>
        <w:rPr>
          <w:rFonts w:cs="Times New Roman" w:ascii="Times New Roman" w:hAnsi="Times New Roman"/>
          <w:b/>
          <w:bCs/>
          <w:iCs/>
          <w:sz w:val="24"/>
          <w:szCs w:val="24"/>
        </w:rPr>
        <w:t xml:space="preserve">. </w:t>
      </w:r>
      <w:r>
        <w:rPr>
          <w:rFonts w:cs="Times New Roman" w:ascii="Times New Roman" w:hAnsi="Times New Roman"/>
          <w:iCs/>
          <w:sz w:val="24"/>
          <w:szCs w:val="24"/>
        </w:rPr>
        <w:t>The cumulative release of BMP-2 in DMEM with 10% FBS and 1% P/S detected by ELISA is demonstrated over time.</w:t>
      </w:r>
      <w:r>
        <w:rPr>
          <w:rFonts w:cs="Times New Roman" w:ascii="Times New Roman" w:hAnsi="Times New Roman"/>
          <w:b/>
          <w:bCs/>
          <w:iCs/>
          <w:sz w:val="24"/>
          <w:szCs w:val="24"/>
        </w:rPr>
        <w:t xml:space="preserve"> </w:t>
      </w:r>
      <w:r>
        <w:rPr>
          <w:rFonts w:cs="Times New Roman" w:ascii="Times New Roman" w:hAnsi="Times New Roman"/>
          <w:iCs/>
          <w:sz w:val="24"/>
          <w:szCs w:val="24"/>
        </w:rPr>
        <w:t>BMP-2 release from A. SLM alginate only (SLM), SLG alginate only (SLG), microspheres containing CaCO</w:t>
      </w:r>
      <w:r>
        <w:rPr>
          <w:rFonts w:cs="Times New Roman" w:ascii="Times New Roman" w:hAnsi="Times New Roman"/>
          <w:iCs/>
          <w:sz w:val="24"/>
          <w:szCs w:val="24"/>
          <w:vertAlign w:val="subscript"/>
        </w:rPr>
        <w:t>3</w:t>
      </w:r>
      <w:r>
        <w:rPr>
          <w:rFonts w:cs="Times New Roman" w:ascii="Times New Roman" w:hAnsi="Times New Roman"/>
          <w:iCs/>
          <w:sz w:val="24"/>
          <w:szCs w:val="24"/>
        </w:rPr>
        <w:t xml:space="preserve"> (MS), SLG alginate with microspheres (SLG+MS), SLM alginate with microspheres (SLM+MS); B. only microspheres without CaCO</w:t>
      </w:r>
      <w:r>
        <w:rPr>
          <w:rFonts w:cs="Times New Roman" w:ascii="Times New Roman" w:hAnsi="Times New Roman"/>
          <w:iCs/>
          <w:sz w:val="24"/>
          <w:szCs w:val="24"/>
          <w:vertAlign w:val="subscript"/>
        </w:rPr>
        <w:t xml:space="preserve">3 </w:t>
      </w:r>
      <w:r>
        <w:rPr>
          <w:rFonts w:cs="Times New Roman" w:ascii="Times New Roman" w:hAnsi="Times New Roman"/>
          <w:iCs/>
          <w:sz w:val="24"/>
          <w:szCs w:val="24"/>
        </w:rPr>
        <w:t>(MS), hyaluronic acid-pN with microspheres (HApN+MS) and hyaluronic acid-pN (HApN) are compared. Statistical difference at 14 days of cumulative release analyzed by one-way ANOVA, *p &lt; 0.05, *** p &lt; 0.001.</w:t>
      </w:r>
      <w:r>
        <w:rPr>
          <w:rFonts w:cs="Times New Roman" w:ascii="Times New Roman" w:hAnsi="Times New Roman"/>
          <w:sz w:val="24"/>
          <w:lang w:eastAsia="en-GB"/>
        </w:rPr>
        <w:t xml:space="preserve"> </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r>
    </w:p>
    <w:p>
      <w:pPr>
        <w:pStyle w:val="Annotationtext"/>
        <w:spacing w:lineRule="auto" w:line="480"/>
        <w:rPr/>
      </w:pPr>
      <w:r>
        <w:rPr>
          <w:rFonts w:cs="Times New Roman" w:ascii="Times New Roman" w:hAnsi="Times New Roman"/>
          <w:sz w:val="24"/>
        </w:rPr>
        <w:t>In the HApN formulation, RCP-MS without CaCO</w:t>
      </w:r>
      <w:r>
        <w:rPr>
          <w:rFonts w:cs="Times New Roman" w:ascii="Times New Roman" w:hAnsi="Times New Roman"/>
          <w:sz w:val="24"/>
          <w:vertAlign w:val="subscript"/>
        </w:rPr>
        <w:t>3</w:t>
      </w:r>
      <w:r>
        <w:rPr>
          <w:rFonts w:cs="Times New Roman" w:ascii="Times New Roman" w:hAnsi="Times New Roman"/>
          <w:sz w:val="24"/>
        </w:rPr>
        <w:t xml:space="preserve"> addition were used. Although the RCP-MS without calcium are more porous compared to the ones with calcium carbonate, and therefore, have a larger surface area (Figure S1), no differences in BMP2 release were observed when compared HApN and HApN+RCP-MS. The release from the HApN+MS and from HApN hydrogel only was limited (</w:t>
      </w:r>
      <w:r>
        <w:rPr>
          <w:rFonts w:cs="Times New Roman" w:ascii="Times New Roman" w:hAnsi="Times New Roman"/>
          <w:b/>
          <w:sz w:val="24"/>
        </w:rPr>
        <w:t>Figure 2B</w:t>
      </w:r>
      <w:r>
        <w:rPr>
          <w:rFonts w:cs="Times New Roman" w:ascii="Times New Roman" w:hAnsi="Times New Roman"/>
          <w:sz w:val="24"/>
        </w:rPr>
        <w:t xml:space="preserve">) and the total release was </w:t>
      </w:r>
      <w:bookmarkStart w:id="45" w:name="OLE_LINK4"/>
      <w:r>
        <w:rPr>
          <w:rFonts w:cs="Times New Roman" w:ascii="Times New Roman" w:hAnsi="Times New Roman"/>
          <w:sz w:val="24"/>
        </w:rPr>
        <w:t xml:space="preserve">less than 0.2 % (3.7 ± 0.4 ng </w:t>
      </w:r>
      <w:bookmarkEnd w:id="45"/>
      <w:r>
        <w:rPr>
          <w:rFonts w:cs="Times New Roman" w:ascii="Times New Roman" w:hAnsi="Times New Roman"/>
          <w:sz w:val="24"/>
        </w:rPr>
        <w:t>and 4.2 ± 0.2 ng), a fraction of the 3.3 µg loaded into the gels. To confirm that the unreleased BMP-2 was still inside the hydrogel after 2 weeks, ten times diluted samples were loaded on a SDS-PAGE gel (</w:t>
      </w:r>
      <w:r>
        <w:rPr>
          <w:rFonts w:cs="Times New Roman" w:ascii="Times New Roman" w:hAnsi="Times New Roman"/>
          <w:b/>
          <w:sz w:val="24"/>
        </w:rPr>
        <w:t>Figure S4</w:t>
      </w:r>
      <w:r>
        <w:rPr>
          <w:rFonts w:cs="Times New Roman" w:ascii="Times New Roman" w:hAnsi="Times New Roman"/>
          <w:sz w:val="24"/>
        </w:rPr>
        <w:t>). We could detect a band of BMP-2 after 2 weeks of release, which confirmed that HApN hydrogel was preventing BMP-2 release.</w:t>
      </w:r>
      <w:bookmarkEnd w:id="42"/>
      <w:r>
        <w:rPr>
          <w:rFonts w:cs="Times New Roman" w:ascii="Times New Roman" w:hAnsi="Times New Roman"/>
          <w:sz w:val="24"/>
        </w:rPr>
        <w:t xml:space="preserve"> </w:t>
      </w:r>
    </w:p>
    <w:p>
      <w:pPr>
        <w:pStyle w:val="Subtitle"/>
        <w:spacing w:lineRule="auto" w:line="360"/>
        <w:jc w:val="both"/>
        <w:rPr>
          <w:rFonts w:ascii="Times New Roman" w:hAnsi="Times New Roman" w:cs="Times New Roman"/>
          <w:sz w:val="24"/>
        </w:rPr>
      </w:pPr>
      <w:r>
        <w:rPr>
          <w:rFonts w:cs="Times New Roman" w:ascii="Times New Roman" w:hAnsi="Times New Roman"/>
          <w:iCs w:val="false"/>
          <w:sz w:val="24"/>
        </w:rPr>
        <w:t xml:space="preserve">2.4. </w:t>
      </w:r>
      <w:r>
        <w:rPr>
          <w:rFonts w:cs="Times New Roman" w:ascii="Times New Roman" w:hAnsi="Times New Roman"/>
          <w:sz w:val="24"/>
        </w:rPr>
        <w:t xml:space="preserve">Injectable BMP-2 loaded hydrogel formulations induced ectopic bone formation </w:t>
      </w:r>
    </w:p>
    <w:p>
      <w:pPr>
        <w:pStyle w:val="Normal"/>
        <w:spacing w:lineRule="auto" w:line="480"/>
        <w:jc w:val="both"/>
        <w:rPr>
          <w:rFonts w:ascii="Times New Roman" w:hAnsi="Times New Roman" w:cs="Times New Roman"/>
          <w:sz w:val="24"/>
        </w:rPr>
      </w:pPr>
      <w:r>
        <w:rPr>
          <w:rFonts w:cs="Times New Roman" w:ascii="Times New Roman" w:hAnsi="Times New Roman"/>
          <w:sz w:val="24"/>
        </w:rPr>
        <w:t>BMP-2 loaded in RCP-MS were injected subcutaneously after encapsulation in the three hydrogel formulations tested; alginate SLM+RCP-MS, alginate SLG+RCP-MS and thermo-responsive HApN+RCP-MS. Identical formulations without addition of BMP-2 were used as controls. 1 week post injection, histology revealed noticeable differences in terms of composite integrity between formulations (</w:t>
      </w:r>
      <w:r>
        <w:rPr>
          <w:rFonts w:cs="Times New Roman" w:ascii="Times New Roman" w:hAnsi="Times New Roman"/>
          <w:b/>
          <w:sz w:val="24"/>
        </w:rPr>
        <w:t>Figure 3A</w:t>
      </w:r>
      <w:r>
        <w:rPr>
          <w:rFonts w:cs="Times New Roman" w:ascii="Times New Roman" w:hAnsi="Times New Roman"/>
          <w:sz w:val="24"/>
        </w:rPr>
        <w:t xml:space="preserve">). In the alginate formulations, both the microspheres and the alginate layer were mostly intact, with some cellular infiltration in the fissures that appeared in the gel. However, in the HApN+RCP-MS formulation, much of the hydrogel had disappeared, many of the microspheres were being degraded and numerous cells could be observed within the implants (Figure 3A). After 4 weeks, bone formation was observed in one third of the alginate harvested formulations (Figure 3A). </w:t>
      </w:r>
    </w:p>
    <w:p>
      <w:pPr>
        <w:pStyle w:val="Normal"/>
        <w:spacing w:lineRule="auto" w:line="480"/>
        <w:jc w:val="both"/>
        <w:rPr/>
      </w:pPr>
      <w:r>
        <w:rPr>
          <w:rFonts w:cs="Times New Roman" w:ascii="Times New Roman" w:hAnsi="Times New Roman"/>
          <w:sz w:val="24"/>
        </w:rPr>
        <w:t>Bone formation was analyzed by micro-CT. No mineralization was observed 1 week after implantation. A similar amount of calcified tissue in all three hydrogel formulations tested was observed at 4 weeks post-implantation (</w:t>
      </w:r>
      <w:r>
        <w:rPr>
          <w:rFonts w:cs="Times New Roman" w:ascii="Times New Roman" w:hAnsi="Times New Roman"/>
          <w:b/>
          <w:sz w:val="24"/>
        </w:rPr>
        <w:t>Figure 3B-C</w:t>
      </w:r>
      <w:r>
        <w:rPr>
          <w:rFonts w:cs="Times New Roman" w:ascii="Times New Roman" w:hAnsi="Times New Roman"/>
          <w:sz w:val="24"/>
        </w:rPr>
        <w:t>). Interestingly, in the alginate formulations cartilaginous regions were found at that time point, suggesting that endochondral ossification process was occurring near by the RCP+RCP-MS (</w:t>
      </w:r>
      <w:r>
        <w:rPr>
          <w:rFonts w:cs="Times New Roman" w:ascii="Times New Roman" w:hAnsi="Times New Roman"/>
          <w:b/>
          <w:sz w:val="24"/>
        </w:rPr>
        <w:t>Figure S5</w:t>
      </w:r>
      <w:r>
        <w:rPr>
          <w:rFonts w:cs="Times New Roman" w:ascii="Times New Roman" w:hAnsi="Times New Roman"/>
          <w:sz w:val="24"/>
        </w:rPr>
        <w:t>). At 10 weeks, micro-CT confirmed the greatest amount of bone formation when alginate SLG was used as a carrier, showing a more than three-fold increase compared to the 4 weeks scan (mean ± SD, from 4.4 ± 5.4 mm</w:t>
      </w:r>
      <w:r>
        <w:rPr>
          <w:rFonts w:cs="Times New Roman" w:ascii="Times New Roman" w:hAnsi="Times New Roman"/>
          <w:sz w:val="24"/>
          <w:vertAlign w:val="superscript"/>
        </w:rPr>
        <w:t>3</w:t>
      </w:r>
      <w:r>
        <w:rPr>
          <w:rFonts w:cs="Times New Roman" w:ascii="Times New Roman" w:hAnsi="Times New Roman"/>
          <w:sz w:val="24"/>
        </w:rPr>
        <w:t xml:space="preserve"> mineral volume at 4 weeks to 22.3 ± 11 mm</w:t>
      </w:r>
      <w:r>
        <w:rPr>
          <w:rFonts w:cs="Times New Roman" w:ascii="Times New Roman" w:hAnsi="Times New Roman"/>
          <w:sz w:val="24"/>
          <w:vertAlign w:val="superscript"/>
        </w:rPr>
        <w:t>3</w:t>
      </w:r>
      <w:r>
        <w:rPr>
          <w:rFonts w:cs="Times New Roman" w:ascii="Times New Roman" w:hAnsi="Times New Roman"/>
          <w:sz w:val="24"/>
        </w:rPr>
        <w:t xml:space="preserve"> at 10 weeks). When alginate SLM+RCP-MS or thermo-responsive HApN+RCP-MS were used, the amount of calcified tissue found within the implants did not change significantly over time (Figure 3B). Moreover, the alginate SLG+RCP-MS formulation significantly increased the amount of mineral volume formed at 10 weeks compared to alginate SLM (22.3 ± 11 mm</w:t>
      </w:r>
      <w:r>
        <w:rPr>
          <w:rFonts w:cs="Times New Roman" w:ascii="Times New Roman" w:hAnsi="Times New Roman"/>
          <w:sz w:val="24"/>
          <w:vertAlign w:val="superscript"/>
        </w:rPr>
        <w:t>3</w:t>
      </w:r>
      <w:r>
        <w:rPr>
          <w:rFonts w:cs="Times New Roman" w:ascii="Times New Roman" w:hAnsi="Times New Roman"/>
          <w:sz w:val="24"/>
        </w:rPr>
        <w:t xml:space="preserve"> vs. 4.24 ± 3 mm</w:t>
      </w:r>
      <w:r>
        <w:rPr>
          <w:rFonts w:cs="Times New Roman" w:ascii="Times New Roman" w:hAnsi="Times New Roman"/>
          <w:sz w:val="24"/>
          <w:vertAlign w:val="superscript"/>
        </w:rPr>
        <w:t>3</w:t>
      </w:r>
      <w:r>
        <w:rPr>
          <w:rFonts w:cs="Times New Roman" w:ascii="Times New Roman" w:hAnsi="Times New Roman"/>
          <w:sz w:val="24"/>
        </w:rPr>
        <w:t>) (Figure 3B). As we expected, when alginate formulations were implanted without BMP-2, mineral tissue was barely found (Figure 3C). Interestingly, the thermo-responsive HApN+RCP-MS formulation showed calcified tissue on micro-CT, even without the addition of BMP-2 (Figure 3C), but histological analysis did not show bone formation and the formulation structure was almost degraded with or without BMP-2 addition at the end of the experiment (Figure 3A).</w:t>
      </w:r>
      <w:r>
        <w:rPr/>
        <w:t xml:space="preserve"> </w:t>
      </w:r>
    </w:p>
    <w:p>
      <w:pPr>
        <w:pStyle w:val="Normal"/>
        <w:jc w:val="center"/>
        <w:rPr>
          <w:b/>
          <w:b/>
          <w:bCs/>
          <w:i/>
          <w:i/>
          <w:iCs/>
          <w:sz w:val="18"/>
          <w:szCs w:val="18"/>
        </w:rPr>
      </w:pPr>
      <w:r>
        <w:rPr>
          <w:b/>
          <w:bCs/>
          <w:i/>
          <w:iCs/>
          <w:sz w:val="18"/>
          <w:szCs w:val="18"/>
        </w:rPr>
        <w:drawing>
          <wp:anchor behindDoc="0" distT="0" distB="9525" distL="114300" distR="114300" simplePos="0" locked="0" layoutInCell="1" allowOverlap="1" relativeHeight="3">
            <wp:simplePos x="0" y="0"/>
            <wp:positionH relativeFrom="column">
              <wp:posOffset>-182245</wp:posOffset>
            </wp:positionH>
            <wp:positionV relativeFrom="paragraph">
              <wp:posOffset>421640</wp:posOffset>
            </wp:positionV>
            <wp:extent cx="6922135" cy="3267075"/>
            <wp:effectExtent l="0" t="0" r="0" b="0"/>
            <wp:wrapTopAndBottom/>
            <wp:docPr id="12"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Imagen" descr=""/>
                    <pic:cNvPicPr>
                      <a:picLocks noChangeAspect="1" noChangeArrowheads="1"/>
                    </pic:cNvPicPr>
                  </pic:nvPicPr>
                  <pic:blipFill>
                    <a:blip r:embed="rId5"/>
                    <a:srcRect l="0" t="0" r="0" b="991405"/>
                    <a:stretch>
                      <a:fillRect/>
                    </a:stretch>
                  </pic:blipFill>
                  <pic:spPr bwMode="auto">
                    <a:xfrm>
                      <a:off x="0" y="0"/>
                      <a:ext cx="6922135" cy="3267075"/>
                    </a:xfrm>
                    <a:prstGeom prst="rect">
                      <a:avLst/>
                    </a:prstGeom>
                  </pic:spPr>
                </pic:pic>
              </a:graphicData>
            </a:graphic>
          </wp:anchor>
        </w:drawing>
      </w:r>
    </w:p>
    <w:p>
      <w:pPr>
        <w:pStyle w:val="Normal"/>
        <w:spacing w:lineRule="auto" w:line="240"/>
        <w:jc w:val="both"/>
        <w:rPr>
          <w:rFonts w:ascii="Times New Roman" w:hAnsi="Times New Roman" w:cs="Times New Roman"/>
          <w:b/>
          <w:b/>
          <w:bCs/>
          <w:iCs/>
          <w:sz w:val="24"/>
          <w:szCs w:val="18"/>
        </w:rPr>
      </w:pPr>
      <w:r>
        <w:rPr>
          <w:rFonts w:cs="Times New Roman" w:ascii="Times New Roman" w:hAnsi="Times New Roman"/>
          <w:b/>
          <w:bCs/>
          <w:iCs/>
          <w:sz w:val="24"/>
          <w:szCs w:val="18"/>
        </w:rPr>
      </w:r>
    </w:p>
    <w:p>
      <w:pPr>
        <w:pStyle w:val="Normal"/>
        <w:spacing w:lineRule="auto" w:line="240"/>
        <w:jc w:val="both"/>
        <w:rPr>
          <w:rFonts w:ascii="Times New Roman" w:hAnsi="Times New Roman" w:cs="Times New Roman"/>
          <w:b/>
          <w:b/>
          <w:bCs/>
          <w:iCs/>
          <w:sz w:val="24"/>
          <w:szCs w:val="18"/>
        </w:rPr>
      </w:pPr>
      <w:r>
        <w:rPr>
          <w:rFonts w:cs="Times New Roman" w:ascii="Times New Roman" w:hAnsi="Times New Roman"/>
          <w:b/>
          <w:bCs/>
          <w:iCs/>
          <w:sz w:val="24"/>
          <w:szCs w:val="18"/>
        </w:rPr>
      </w:r>
    </w:p>
    <w:p>
      <w:pPr>
        <w:pStyle w:val="Normal"/>
        <w:spacing w:lineRule="auto" w:line="240"/>
        <w:jc w:val="center"/>
        <w:rPr>
          <w:rFonts w:ascii="Times New Roman" w:hAnsi="Times New Roman" w:cs="Times New Roman"/>
          <w:b/>
          <w:b/>
          <w:bCs/>
          <w:iCs/>
          <w:sz w:val="24"/>
          <w:szCs w:val="18"/>
        </w:rPr>
      </w:pPr>
      <w:r>
        <w:rPr/>
        <w:drawing>
          <wp:inline distT="0" distB="4445" distL="0" distR="1905">
            <wp:extent cx="5351145" cy="6854190"/>
            <wp:effectExtent l="0" t="0" r="0" b="0"/>
            <wp:docPr id="1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
                    <pic:cNvPicPr>
                      <a:picLocks noChangeAspect="1" noChangeArrowheads="1"/>
                    </pic:cNvPicPr>
                  </pic:nvPicPr>
                  <pic:blipFill>
                    <a:blip r:embed="rId6"/>
                    <a:stretch>
                      <a:fillRect/>
                    </a:stretch>
                  </pic:blipFill>
                  <pic:spPr bwMode="auto">
                    <a:xfrm>
                      <a:off x="0" y="0"/>
                      <a:ext cx="5351145" cy="6854190"/>
                    </a:xfrm>
                    <a:prstGeom prst="rect">
                      <a:avLst/>
                    </a:prstGeom>
                  </pic:spPr>
                </pic:pic>
              </a:graphicData>
            </a:graphic>
          </wp:inline>
        </w:drawing>
      </w:r>
    </w:p>
    <w:p>
      <w:pPr>
        <w:pStyle w:val="Normal"/>
        <w:spacing w:lineRule="auto" w:line="240"/>
        <w:jc w:val="both"/>
        <w:rPr>
          <w:rFonts w:ascii="Times New Roman" w:hAnsi="Times New Roman" w:cs="Times New Roman"/>
          <w:b/>
          <w:b/>
          <w:bCs/>
          <w:iCs/>
          <w:sz w:val="24"/>
          <w:szCs w:val="18"/>
        </w:rPr>
      </w:pPr>
      <w:r>
        <w:rPr>
          <w:rFonts w:cs="Times New Roman" w:ascii="Times New Roman" w:hAnsi="Times New Roman"/>
          <w:b/>
          <w:bCs/>
          <w:iCs/>
          <w:sz w:val="24"/>
          <w:szCs w:val="18"/>
        </w:rPr>
      </w:r>
    </w:p>
    <w:p>
      <w:pPr>
        <w:pStyle w:val="Normal"/>
        <w:spacing w:lineRule="auto" w:line="240"/>
        <w:jc w:val="both"/>
        <w:rPr>
          <w:rFonts w:ascii="Times New Roman" w:hAnsi="Times New Roman" w:cs="Times New Roman"/>
          <w:bCs/>
          <w:iCs/>
          <w:sz w:val="24"/>
          <w:szCs w:val="18"/>
        </w:rPr>
      </w:pPr>
      <w:r>
        <w:rPr>
          <w:rFonts w:cs="Times New Roman" w:ascii="Times New Roman" w:hAnsi="Times New Roman"/>
          <w:b/>
          <w:bCs/>
          <w:iCs/>
          <w:sz w:val="24"/>
          <w:szCs w:val="18"/>
        </w:rPr>
        <w:t xml:space="preserve">Figure 3. Alginate hydrogel formulations loaded with BMP-2 induced ectopic bone formation. </w:t>
      </w:r>
      <w:r>
        <w:rPr>
          <w:rFonts w:cs="Times New Roman" w:ascii="Times New Roman" w:hAnsi="Times New Roman"/>
          <w:bCs/>
          <w:iCs/>
          <w:sz w:val="24"/>
          <w:szCs w:val="18"/>
        </w:rPr>
        <w:t>A. H&amp;E sections at 1, 4 and 10 weeks after implantation showing the alginate scaffolds (alg), microspheres (indicated by yellow arrows), formed bone (B) and fibrous tissue (FT). Controls (empty gels) are shown at 10 weeks. Images are shown at high magnification (scale bar is 400 μm). B. Comparison of the mineral volume obtained in the different formulations with the addition of BMP-2 at 4 and 10 weeks</w:t>
      </w:r>
      <w:r>
        <w:rPr>
          <w:rFonts w:cs="Times New Roman" w:ascii="Times New Roman" w:hAnsi="Times New Roman"/>
          <w:bCs/>
          <w:sz w:val="24"/>
          <w:szCs w:val="18"/>
        </w:rPr>
        <w:t>-period</w:t>
      </w:r>
      <w:r>
        <w:rPr>
          <w:rFonts w:cs="Times New Roman" w:ascii="Times New Roman" w:hAnsi="Times New Roman"/>
          <w:bCs/>
          <w:iCs/>
          <w:sz w:val="24"/>
          <w:szCs w:val="18"/>
        </w:rPr>
        <w:t xml:space="preserve">. </w:t>
      </w:r>
      <w:r>
        <w:rPr>
          <w:rFonts w:cs="Times New Roman" w:ascii="Times New Roman" w:hAnsi="Times New Roman"/>
          <w:bCs/>
          <w:sz w:val="24"/>
          <w:szCs w:val="18"/>
          <w:lang w:val="en-GB"/>
        </w:rPr>
        <w:t xml:space="preserve">The bars represent the mean ± SD </w:t>
      </w:r>
      <w:r>
        <w:rPr>
          <w:rFonts w:cs="Times New Roman" w:ascii="Times New Roman" w:hAnsi="Times New Roman"/>
          <w:bCs/>
          <w:iCs/>
          <w:sz w:val="24"/>
          <w:szCs w:val="18"/>
        </w:rPr>
        <w:t>(* p &lt; 0.05)</w:t>
      </w:r>
      <w:r>
        <w:rPr>
          <w:rFonts w:cs="Times New Roman" w:ascii="Times New Roman" w:hAnsi="Times New Roman"/>
          <w:bCs/>
          <w:sz w:val="24"/>
          <w:szCs w:val="18"/>
        </w:rPr>
        <w:t>.</w:t>
      </w:r>
      <w:r>
        <w:rPr>
          <w:rFonts w:cs="Times New Roman" w:ascii="Times New Roman" w:hAnsi="Times New Roman"/>
          <w:bCs/>
          <w:iCs/>
          <w:sz w:val="24"/>
          <w:szCs w:val="18"/>
        </w:rPr>
        <w:t xml:space="preserve"> C. Reconstructed micro-CT images 10 weeks after subcutaneous injection of alginate SLM+ RCP-MS, alginate SLM+ RCP-MS and HA+ RCP-MS with and without BMP-2. Alginate SLM (SLM), alginate SLG (SLG), </w:t>
      </w:r>
      <w:r>
        <w:rPr>
          <w:rFonts w:cs="Times New Roman" w:ascii="Times New Roman" w:hAnsi="Times New Roman"/>
          <w:sz w:val="24"/>
          <w:szCs w:val="24"/>
        </w:rPr>
        <w:t xml:space="preserve">thermoresponsive hyaluronan derivative (HApN), Collagen-I based Recombinant Peptide microspheres (RCP-MS). </w:t>
      </w:r>
      <w:bookmarkStart w:id="46" w:name="OLE_LINK6"/>
      <w:bookmarkEnd w:id="46"/>
    </w:p>
    <w:p>
      <w:pPr>
        <w:pStyle w:val="Subtitle"/>
        <w:spacing w:lineRule="auto" w:line="360"/>
        <w:rPr>
          <w:rFonts w:ascii="Times New Roman" w:hAnsi="Times New Roman" w:cs="Times New Roman"/>
          <w:sz w:val="24"/>
        </w:rPr>
      </w:pPr>
      <w:r>
        <w:rPr>
          <w:rFonts w:cs="Times New Roman" w:ascii="Times New Roman" w:hAnsi="Times New Roman"/>
          <w:sz w:val="24"/>
        </w:rPr>
        <w:t xml:space="preserve">2.5. Inflammatory cell infiltration decreased over time in alginate in comparison to hyaluronan formulations </w:t>
      </w:r>
      <w:bookmarkStart w:id="47" w:name="OLE_LINK5"/>
      <w:bookmarkEnd w:id="47"/>
    </w:p>
    <w:p>
      <w:pPr>
        <w:pStyle w:val="Normal"/>
        <w:spacing w:lineRule="auto" w:line="480"/>
        <w:jc w:val="both"/>
        <w:rPr>
          <w:rFonts w:ascii="Times New Roman" w:hAnsi="Times New Roman" w:cs="Times New Roman"/>
          <w:bCs/>
          <w:sz w:val="24"/>
        </w:rPr>
      </w:pPr>
      <w:r>
        <w:rPr>
          <w:rFonts w:cs="Times New Roman" w:ascii="Times New Roman" w:hAnsi="Times New Roman"/>
          <w:bCs/>
          <w:sz w:val="24"/>
        </w:rPr>
        <w:t xml:space="preserve">To investigate the role of inflammation in the bone formation process, we used CD68 as a general marker to identify cells of the macrophage lineage. We observed a significant time dependent decrease in staining in the alginate SLG </w:t>
      </w:r>
      <w:r>
        <w:rPr>
          <w:rFonts w:cs="Times New Roman" w:ascii="Times New Roman" w:hAnsi="Times New Roman"/>
          <w:sz w:val="24"/>
        </w:rPr>
        <w:t>(</w:t>
      </w:r>
      <w:r>
        <w:rPr>
          <w:rFonts w:cs="Times New Roman" w:ascii="Times New Roman" w:hAnsi="Times New Roman"/>
          <w:bCs/>
          <w:sz w:val="24"/>
        </w:rPr>
        <w:t>median ± 95% CI, 39 ± 8.3 at 1 week vs. 7 ± 7.5 at 10 weeks</w:t>
      </w:r>
      <w:r>
        <w:rPr>
          <w:rFonts w:cs="Times New Roman" w:ascii="Times New Roman" w:hAnsi="Times New Roman"/>
          <w:sz w:val="24"/>
        </w:rPr>
        <w:t>, p &lt; 0.05)</w:t>
      </w:r>
      <w:r>
        <w:rPr>
          <w:rFonts w:cs="Times New Roman" w:ascii="Times New Roman" w:hAnsi="Times New Roman"/>
          <w:bCs/>
          <w:sz w:val="24"/>
        </w:rPr>
        <w:t xml:space="preserve"> (</w:t>
      </w:r>
      <w:r>
        <w:rPr>
          <w:rFonts w:cs="Times New Roman" w:ascii="Times New Roman" w:hAnsi="Times New Roman"/>
          <w:b/>
          <w:bCs/>
          <w:sz w:val="24"/>
        </w:rPr>
        <w:t>Figure 4A-B</w:t>
      </w:r>
      <w:r>
        <w:rPr>
          <w:rFonts w:cs="Times New Roman" w:ascii="Times New Roman" w:hAnsi="Times New Roman"/>
          <w:bCs/>
          <w:sz w:val="24"/>
        </w:rPr>
        <w:t>). In the alginate SLM</w:t>
      </w:r>
      <w:r>
        <w:rPr>
          <w:rFonts w:cs="Times New Roman" w:ascii="Times New Roman" w:hAnsi="Times New Roman"/>
          <w:sz w:val="24"/>
        </w:rPr>
        <w:t>+RCP-MS</w:t>
      </w:r>
      <w:r>
        <w:rPr>
          <w:rFonts w:cs="Times New Roman" w:ascii="Times New Roman" w:hAnsi="Times New Roman"/>
          <w:bCs/>
          <w:sz w:val="24"/>
        </w:rPr>
        <w:t xml:space="preserve"> formulation CD68-positive staining was less pronounced than in SLG</w:t>
      </w:r>
      <w:r>
        <w:rPr>
          <w:rFonts w:cs="Times New Roman" w:ascii="Times New Roman" w:hAnsi="Times New Roman"/>
          <w:sz w:val="24"/>
        </w:rPr>
        <w:t>+RCP-MS</w:t>
      </w:r>
      <w:r>
        <w:rPr>
          <w:rFonts w:cs="Times New Roman" w:ascii="Times New Roman" w:hAnsi="Times New Roman"/>
          <w:bCs/>
          <w:sz w:val="24"/>
        </w:rPr>
        <w:t xml:space="preserve"> at week 1, increased at week 4 and then significantly dropped again at week 10 (mean ± 95% CI, 14 ± 3.9 at 1 week and 33.5 ± 7.3 vs. 10 ± 11 for 4 and 10 week rank, respectively). In the HApN</w:t>
      </w:r>
      <w:r>
        <w:rPr>
          <w:rFonts w:cs="Times New Roman" w:ascii="Times New Roman" w:hAnsi="Times New Roman"/>
          <w:sz w:val="24"/>
        </w:rPr>
        <w:t>+RCP-MS</w:t>
      </w:r>
      <w:r>
        <w:rPr>
          <w:rFonts w:cs="Times New Roman" w:ascii="Times New Roman" w:hAnsi="Times New Roman"/>
          <w:bCs/>
          <w:sz w:val="24"/>
        </w:rPr>
        <w:t xml:space="preserve"> formulation, </w:t>
      </w:r>
      <w:r>
        <w:rPr>
          <w:rFonts w:cs="Times New Roman" w:ascii="Times New Roman" w:hAnsi="Times New Roman"/>
          <w:sz w:val="24"/>
        </w:rPr>
        <w:t xml:space="preserve">macrophage recruitment was slower than in alginate SLG+RCP-MS formulation and had the highest CD68-positive staining at 10 weeks </w:t>
      </w:r>
      <w:bookmarkStart w:id="48" w:name="OLE_LINK1"/>
      <w:r>
        <w:rPr>
          <w:rFonts w:cs="Times New Roman" w:ascii="Times New Roman" w:hAnsi="Times New Roman"/>
          <w:sz w:val="24"/>
        </w:rPr>
        <w:t>(</w:t>
      </w:r>
      <w:r>
        <w:rPr>
          <w:rFonts w:cs="Times New Roman" w:ascii="Times New Roman" w:hAnsi="Times New Roman"/>
          <w:bCs/>
          <w:sz w:val="24"/>
        </w:rPr>
        <w:t>median ± 95% CI</w:t>
      </w:r>
      <w:r>
        <w:rPr>
          <w:rFonts w:cs="Times New Roman" w:ascii="Times New Roman" w:hAnsi="Times New Roman"/>
          <w:sz w:val="24"/>
        </w:rPr>
        <w:t xml:space="preserve">, from </w:t>
      </w:r>
      <w:r>
        <w:rPr>
          <w:rFonts w:cs="Times New Roman" w:ascii="Times New Roman" w:hAnsi="Times New Roman"/>
          <w:bCs/>
          <w:sz w:val="24"/>
        </w:rPr>
        <w:t>23.5 ± 6.3</w:t>
      </w:r>
      <w:r>
        <w:rPr>
          <w:rFonts w:cs="Times New Roman" w:ascii="Times New Roman" w:hAnsi="Times New Roman"/>
          <w:sz w:val="24"/>
        </w:rPr>
        <w:t xml:space="preserve"> at week 1 to </w:t>
      </w:r>
      <w:r>
        <w:rPr>
          <w:rFonts w:cs="Times New Roman" w:ascii="Times New Roman" w:hAnsi="Times New Roman"/>
          <w:bCs/>
          <w:sz w:val="24"/>
        </w:rPr>
        <w:t>48.5 ± 5.5</w:t>
      </w:r>
      <w:r>
        <w:rPr>
          <w:rFonts w:cs="Times New Roman" w:ascii="Times New Roman" w:hAnsi="Times New Roman"/>
          <w:sz w:val="24"/>
        </w:rPr>
        <w:t xml:space="preserve"> at the end of the experiment, p &lt; 0.01)</w:t>
      </w:r>
      <w:bookmarkEnd w:id="48"/>
      <w:r>
        <w:rPr>
          <w:rFonts w:cs="Times New Roman" w:ascii="Times New Roman" w:hAnsi="Times New Roman"/>
          <w:sz w:val="24"/>
        </w:rPr>
        <w:t xml:space="preserve"> </w:t>
      </w:r>
      <w:r>
        <w:rPr>
          <w:rFonts w:cs="Times New Roman" w:ascii="Times New Roman" w:hAnsi="Times New Roman"/>
          <w:bCs/>
          <w:sz w:val="24"/>
        </w:rPr>
        <w:t>(Figure 4A-B). Furthermore, when we compared the formulations to each other at 1, 4 and 10 weeks post implantation, the SLG</w:t>
      </w:r>
      <w:r>
        <w:rPr>
          <w:rFonts w:cs="Times New Roman" w:ascii="Times New Roman" w:hAnsi="Times New Roman"/>
          <w:sz w:val="24"/>
        </w:rPr>
        <w:t>+RCP-MS</w:t>
      </w:r>
      <w:r>
        <w:rPr>
          <w:rFonts w:cs="Times New Roman" w:ascii="Times New Roman" w:hAnsi="Times New Roman"/>
          <w:bCs/>
          <w:sz w:val="24"/>
        </w:rPr>
        <w:t xml:space="preserve"> formulation showed more pronounced infiltration of CD68-positive cells at 1 week than SLM</w:t>
      </w:r>
      <w:r>
        <w:rPr>
          <w:rFonts w:cs="Times New Roman" w:ascii="Times New Roman" w:hAnsi="Times New Roman"/>
          <w:sz w:val="24"/>
        </w:rPr>
        <w:t>+RCP-MS</w:t>
      </w:r>
      <w:r>
        <w:rPr>
          <w:rFonts w:cs="Times New Roman" w:ascii="Times New Roman" w:hAnsi="Times New Roman"/>
          <w:bCs/>
          <w:sz w:val="24"/>
        </w:rPr>
        <w:t xml:space="preserve"> (39 ± 8.3 vs. 14 ± 3.9, p &lt; 0.01) and CD68-positive staining at 10 weeks in the HApN</w:t>
      </w:r>
      <w:r>
        <w:rPr>
          <w:rFonts w:cs="Times New Roman" w:ascii="Times New Roman" w:hAnsi="Times New Roman"/>
          <w:sz w:val="24"/>
        </w:rPr>
        <w:t>+RCP-MS</w:t>
      </w:r>
      <w:r>
        <w:rPr>
          <w:rFonts w:cs="Times New Roman" w:ascii="Times New Roman" w:hAnsi="Times New Roman"/>
          <w:bCs/>
          <w:sz w:val="24"/>
        </w:rPr>
        <w:t xml:space="preserve"> formulation was significantly higher than in both, alginate SLM</w:t>
      </w:r>
      <w:r>
        <w:rPr>
          <w:rFonts w:cs="Times New Roman" w:ascii="Times New Roman" w:hAnsi="Times New Roman"/>
          <w:sz w:val="24"/>
        </w:rPr>
        <w:t>+RCP-MS</w:t>
      </w:r>
      <w:r>
        <w:rPr>
          <w:rFonts w:cs="Times New Roman" w:ascii="Times New Roman" w:hAnsi="Times New Roman"/>
          <w:bCs/>
          <w:sz w:val="24"/>
        </w:rPr>
        <w:t xml:space="preserve"> and alginate SLG</w:t>
      </w:r>
      <w:r>
        <w:rPr>
          <w:rFonts w:cs="Times New Roman" w:ascii="Times New Roman" w:hAnsi="Times New Roman"/>
          <w:sz w:val="24"/>
        </w:rPr>
        <w:t>+RCP-MS</w:t>
      </w:r>
      <w:r>
        <w:rPr>
          <w:rFonts w:cs="Times New Roman" w:ascii="Times New Roman" w:hAnsi="Times New Roman"/>
          <w:bCs/>
          <w:sz w:val="24"/>
        </w:rPr>
        <w:t xml:space="preserve"> (10 ± 11 for SLM</w:t>
      </w:r>
      <w:r>
        <w:rPr>
          <w:rFonts w:cs="Times New Roman" w:ascii="Times New Roman" w:hAnsi="Times New Roman"/>
          <w:sz w:val="24"/>
        </w:rPr>
        <w:t>+RCP-MS</w:t>
      </w:r>
      <w:r>
        <w:rPr>
          <w:rFonts w:cs="Times New Roman" w:ascii="Times New Roman" w:hAnsi="Times New Roman"/>
          <w:bCs/>
          <w:sz w:val="24"/>
        </w:rPr>
        <w:t>, 7 ± 7.5 for SLG</w:t>
      </w:r>
      <w:r>
        <w:rPr>
          <w:rFonts w:cs="Times New Roman" w:ascii="Times New Roman" w:hAnsi="Times New Roman"/>
          <w:sz w:val="24"/>
        </w:rPr>
        <w:t>+RCP-MS</w:t>
      </w:r>
      <w:r>
        <w:rPr>
          <w:rFonts w:cs="Times New Roman" w:ascii="Times New Roman" w:hAnsi="Times New Roman"/>
          <w:bCs/>
          <w:sz w:val="24"/>
        </w:rPr>
        <w:t xml:space="preserve"> vs 48.5 ± 5.5 for HApN</w:t>
      </w:r>
      <w:r>
        <w:rPr>
          <w:rFonts w:cs="Times New Roman" w:ascii="Times New Roman" w:hAnsi="Times New Roman"/>
          <w:sz w:val="24"/>
        </w:rPr>
        <w:t>+RCP-MS</w:t>
      </w:r>
      <w:r>
        <w:rPr>
          <w:rFonts w:cs="Times New Roman" w:ascii="Times New Roman" w:hAnsi="Times New Roman"/>
          <w:bCs/>
          <w:sz w:val="24"/>
        </w:rPr>
        <w:t xml:space="preserve">, p &lt; 0.05). </w:t>
      </w:r>
    </w:p>
    <w:p>
      <w:pPr>
        <w:pStyle w:val="Normal"/>
        <w:spacing w:lineRule="auto" w:line="480"/>
        <w:jc w:val="both"/>
        <w:rPr>
          <w:rFonts w:ascii="Times New Roman" w:hAnsi="Times New Roman" w:cs="Times New Roman"/>
          <w:bCs/>
          <w:sz w:val="24"/>
        </w:rPr>
      </w:pPr>
      <w:r>
        <w:rPr>
          <w:rFonts w:cs="Times New Roman" w:ascii="Times New Roman" w:hAnsi="Times New Roman"/>
          <w:bCs/>
          <w:sz w:val="24"/>
        </w:rPr>
        <w:t xml:space="preserve">To further investigate whether the different formulations promoted the activation of distinct macrophage phenotypes, pro-inflammatory (M1) and anti-inflammatory (M2) macrophage subsets were identified. To achieve this, iNOS and CD206 markers were used. </w:t>
      </w:r>
      <w:bookmarkStart w:id="49" w:name="OLE_LINK3"/>
      <w:r>
        <w:rPr>
          <w:rFonts w:cs="Times New Roman" w:ascii="Times New Roman" w:hAnsi="Times New Roman"/>
          <w:bCs/>
          <w:sz w:val="24"/>
        </w:rPr>
        <w:t xml:space="preserve">iNOS, was used as marker for M1 macrophages. </w:t>
      </w:r>
      <w:bookmarkEnd w:id="49"/>
      <w:r>
        <w:rPr>
          <w:rFonts w:cs="Times New Roman" w:ascii="Times New Roman" w:hAnsi="Times New Roman"/>
          <w:bCs/>
          <w:sz w:val="24"/>
        </w:rPr>
        <w:t>The HApN</w:t>
      </w:r>
      <w:r>
        <w:rPr>
          <w:rFonts w:cs="Times New Roman" w:ascii="Times New Roman" w:hAnsi="Times New Roman"/>
          <w:sz w:val="24"/>
        </w:rPr>
        <w:t>+RCP-MS</w:t>
      </w:r>
      <w:r>
        <w:rPr>
          <w:rFonts w:cs="Times New Roman" w:ascii="Times New Roman" w:hAnsi="Times New Roman"/>
          <w:bCs/>
          <w:sz w:val="24"/>
        </w:rPr>
        <w:t xml:space="preserve"> formulation had significantly more iNOS-positive staining compared to the alginate SLG</w:t>
      </w:r>
      <w:r>
        <w:rPr>
          <w:rFonts w:cs="Times New Roman" w:ascii="Times New Roman" w:hAnsi="Times New Roman"/>
          <w:sz w:val="24"/>
        </w:rPr>
        <w:t>+RCP-MS</w:t>
      </w:r>
      <w:r>
        <w:rPr>
          <w:rFonts w:cs="Times New Roman" w:ascii="Times New Roman" w:hAnsi="Times New Roman"/>
          <w:bCs/>
          <w:sz w:val="24"/>
        </w:rPr>
        <w:t xml:space="preserve"> formulation at 10 weeks (median ± 95% CI, 41.25 ± 9.6 vs. 7 ± 8.8, </w:t>
      </w:r>
      <w:r>
        <w:rPr>
          <w:rFonts w:cs="Times New Roman" w:ascii="Times New Roman" w:hAnsi="Times New Roman"/>
          <w:sz w:val="24"/>
        </w:rPr>
        <w:t>p &lt; 0.05</w:t>
      </w:r>
      <w:r>
        <w:rPr>
          <w:rFonts w:cs="Times New Roman" w:ascii="Times New Roman" w:hAnsi="Times New Roman"/>
          <w:bCs/>
          <w:sz w:val="24"/>
        </w:rPr>
        <w:t>) (</w:t>
      </w:r>
      <w:r>
        <w:rPr>
          <w:rFonts w:cs="Times New Roman" w:ascii="Times New Roman" w:hAnsi="Times New Roman"/>
          <w:b/>
          <w:bCs/>
          <w:sz w:val="24"/>
        </w:rPr>
        <w:t>Figure 4C</w:t>
      </w:r>
      <w:r>
        <w:rPr>
          <w:rFonts w:cs="Times New Roman" w:ascii="Times New Roman" w:hAnsi="Times New Roman"/>
          <w:bCs/>
          <w:sz w:val="24"/>
        </w:rPr>
        <w:t xml:space="preserve">). </w:t>
      </w:r>
    </w:p>
    <w:p>
      <w:pPr>
        <w:pStyle w:val="Normal"/>
        <w:spacing w:lineRule="auto" w:line="480"/>
        <w:jc w:val="both"/>
        <w:rPr>
          <w:rFonts w:ascii="Times New Roman" w:hAnsi="Times New Roman" w:cs="Times New Roman"/>
          <w:bCs/>
          <w:sz w:val="24"/>
        </w:rPr>
      </w:pPr>
      <w:r>
        <w:rPr>
          <w:rFonts w:cs="Times New Roman" w:ascii="Times New Roman" w:hAnsi="Times New Roman"/>
          <w:bCs/>
          <w:sz w:val="24"/>
        </w:rPr>
        <w:t>CD206-positive staining to identify M2 macrophages did not show any difference between formulations at week 1. At 4 weeks, CD206-positive staining was significantly higher in SLM</w:t>
      </w:r>
      <w:r>
        <w:rPr>
          <w:rFonts w:cs="Times New Roman" w:ascii="Times New Roman" w:hAnsi="Times New Roman"/>
          <w:sz w:val="24"/>
        </w:rPr>
        <w:t>+RCP-MS</w:t>
      </w:r>
      <w:r>
        <w:rPr>
          <w:rFonts w:cs="Times New Roman" w:ascii="Times New Roman" w:hAnsi="Times New Roman"/>
          <w:bCs/>
          <w:sz w:val="24"/>
        </w:rPr>
        <w:t xml:space="preserve"> than in HApN</w:t>
      </w:r>
      <w:r>
        <w:rPr>
          <w:rFonts w:cs="Times New Roman" w:ascii="Times New Roman" w:hAnsi="Times New Roman"/>
          <w:sz w:val="24"/>
        </w:rPr>
        <w:t>+RCP-MS</w:t>
      </w:r>
      <w:r>
        <w:rPr>
          <w:rFonts w:cs="Times New Roman" w:ascii="Times New Roman" w:hAnsi="Times New Roman"/>
          <w:bCs/>
          <w:sz w:val="24"/>
        </w:rPr>
        <w:t xml:space="preserve"> formulations (28.2 ± 4 vs. 10.5 ± 4.2). At week 10 no significant differences were found between them (Figure 4D).</w:t>
      </w:r>
    </w:p>
    <w:p>
      <w:pPr>
        <w:pStyle w:val="Normal"/>
        <w:spacing w:before="0" w:after="200"/>
        <w:rPr>
          <w:rFonts w:ascii="Times New Roman" w:hAnsi="Times New Roman" w:cs="Times New Roman"/>
          <w:bCs/>
          <w:sz w:val="24"/>
        </w:rPr>
      </w:pPr>
      <w:r>
        <w:rPr>
          <w:rFonts w:cs="Times New Roman" w:ascii="Times New Roman" w:hAnsi="Times New Roman"/>
          <w:bCs/>
          <w:sz w:val="24"/>
        </w:rPr>
      </w:r>
      <w:r>
        <w:br w:type="page"/>
      </w:r>
    </w:p>
    <w:p>
      <w:pPr>
        <w:pStyle w:val="Normal"/>
        <w:spacing w:lineRule="auto" w:line="480"/>
        <w:jc w:val="both"/>
        <w:rPr>
          <w:rFonts w:ascii="Times New Roman" w:hAnsi="Times New Roman" w:cs="Times New Roman"/>
          <w:bCs/>
          <w:sz w:val="24"/>
        </w:rPr>
      </w:pPr>
      <w:r>
        <w:rPr>
          <w:rFonts w:cs="Times New Roman" w:ascii="Times New Roman" w:hAnsi="Times New Roman"/>
          <w:bCs/>
          <w:sz w:val="24"/>
        </w:rPr>
      </w:r>
    </w:p>
    <w:p>
      <w:pPr>
        <w:pStyle w:val="Normal"/>
        <w:spacing w:before="0" w:after="200"/>
        <w:rPr>
          <w:rFonts w:ascii="Times New Roman" w:hAnsi="Times New Roman" w:cs="Times New Roman"/>
          <w:bCs/>
          <w:sz w:val="24"/>
        </w:rPr>
      </w:pPr>
      <w:r>
        <w:rPr>
          <w:rFonts w:cs="Times New Roman" w:ascii="Times New Roman" w:hAnsi="Times New Roman"/>
          <w:bCs/>
          <w:sz w:val="24"/>
        </w:rPr>
        <mc:AlternateContent>
          <mc:Choice Requires="wps">
            <w:drawing>
              <wp:anchor behindDoc="0" distT="0" distB="0" distL="114300" distR="114300" simplePos="0" locked="0" layoutInCell="1" allowOverlap="1" relativeHeight="18" wp14:anchorId="5944B32D">
                <wp:simplePos x="0" y="0"/>
                <wp:positionH relativeFrom="margin">
                  <wp:posOffset>-1230630</wp:posOffset>
                </wp:positionH>
                <wp:positionV relativeFrom="margin">
                  <wp:posOffset>2289810</wp:posOffset>
                </wp:positionV>
                <wp:extent cx="8782050" cy="4010660"/>
                <wp:effectExtent l="4445" t="0" r="5080" b="5080"/>
                <wp:wrapSquare wrapText="bothSides"/>
                <wp:docPr id="14" name="Picture 10"/>
                <a:graphic xmlns:a="http://schemas.openxmlformats.org/drawingml/2006/main">
                  <a:graphicData uri="http://schemas.openxmlformats.org/drawingml/2006/picture">
                    <pic:pic xmlns:pic="http://schemas.openxmlformats.org/drawingml/2006/picture">
                      <pic:nvPicPr>
                        <pic:cNvPr id="0" name="Picture 10" descr=""/>
                        <pic:cNvPicPr/>
                      </pic:nvPicPr>
                      <pic:blipFill>
                        <a:blip r:embed="rId7"/>
                        <a:stretch/>
                      </pic:blipFill>
                      <pic:spPr>
                        <a:xfrm rot="5400000">
                          <a:off x="0" y="0"/>
                          <a:ext cx="8781480" cy="40100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0" stroked="f" style="position:absolute;margin-left:-96.9pt;margin-top:180.3pt;width:691.4pt;height:315.7pt;rotation:90;mso-position-horizontal-relative:margin;mso-position-vertical-relative:margin" wp14:anchorId="5944B32D" type="shapetype_75">
                <v:imagedata r:id="rId7" o:detectmouseclick="t"/>
                <w10:wrap type="none"/>
                <v:stroke color="#3465a4" joinstyle="round" endcap="flat"/>
              </v:shape>
            </w:pict>
          </mc:Fallback>
        </mc:AlternateContent>
      </w:r>
      <w:r>
        <w:br w:type="page"/>
      </w:r>
    </w:p>
    <w:p>
      <w:pPr>
        <w:pStyle w:val="Normal"/>
        <w:spacing w:lineRule="auto" w:line="480"/>
        <w:jc w:val="both"/>
        <w:rPr>
          <w:rFonts w:ascii="Times New Roman" w:hAnsi="Times New Roman" w:cs="Times New Roman"/>
          <w:bCs/>
          <w:sz w:val="24"/>
        </w:rPr>
      </w:pPr>
      <w:r>
        <w:rPr>
          <w:rFonts w:cs="Times New Roman" w:ascii="Times New Roman" w:hAnsi="Times New Roman"/>
          <w:bCs/>
          <w:sz w:val="24"/>
        </w:rPr>
        <w:drawing>
          <wp:anchor behindDoc="0" distT="0" distB="0" distL="114300" distR="114300" simplePos="0" locked="0" layoutInCell="1" allowOverlap="1" relativeHeight="19">
            <wp:simplePos x="0" y="0"/>
            <wp:positionH relativeFrom="margin">
              <wp:posOffset>0</wp:posOffset>
            </wp:positionH>
            <wp:positionV relativeFrom="margin">
              <wp:posOffset>31750</wp:posOffset>
            </wp:positionV>
            <wp:extent cx="6332220" cy="3512820"/>
            <wp:effectExtent l="0" t="0" r="0" b="0"/>
            <wp:wrapSquare wrapText="bothSides"/>
            <wp:docPr id="1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
                    <pic:cNvPicPr>
                      <a:picLocks noChangeAspect="1" noChangeArrowheads="1"/>
                    </pic:cNvPicPr>
                  </pic:nvPicPr>
                  <pic:blipFill>
                    <a:blip r:embed="rId8"/>
                    <a:stretch>
                      <a:fillRect/>
                    </a:stretch>
                  </pic:blipFill>
                  <pic:spPr bwMode="auto">
                    <a:xfrm>
                      <a:off x="0" y="0"/>
                      <a:ext cx="6332220" cy="3512820"/>
                    </a:xfrm>
                    <a:prstGeom prst="rect">
                      <a:avLst/>
                    </a:prstGeom>
                  </pic:spPr>
                </pic:pic>
              </a:graphicData>
            </a:graphic>
          </wp:anchor>
        </w:drawing>
      </w:r>
    </w:p>
    <w:p>
      <w:pPr>
        <w:pStyle w:val="Normal"/>
        <w:spacing w:lineRule="auto" w:line="240"/>
        <w:jc w:val="both"/>
        <w:rPr>
          <w:rFonts w:ascii="Times New Roman" w:hAnsi="Times New Roman" w:cs="Times New Roman"/>
          <w:bCs/>
          <w:iCs/>
          <w:sz w:val="24"/>
          <w:szCs w:val="18"/>
        </w:rPr>
      </w:pPr>
      <w:r>
        <w:rPr>
          <w:rFonts w:cs="Times New Roman" w:ascii="Times New Roman" w:hAnsi="Times New Roman"/>
          <w:b/>
          <w:bCs/>
          <w:iCs/>
          <w:sz w:val="24"/>
          <w:szCs w:val="18"/>
        </w:rPr>
        <w:t>Figure 4. CD68, iNOS and CD206 positive staining differed between hydrogel formulations.</w:t>
      </w:r>
      <w:r>
        <w:rPr>
          <w:rFonts w:cs="Times New Roman" w:ascii="Times New Roman" w:hAnsi="Times New Roman"/>
          <w:bCs/>
          <w:iCs/>
          <w:sz w:val="24"/>
          <w:szCs w:val="18"/>
        </w:rPr>
        <w:t xml:space="preserve"> A. Two blind observers ranked the implants according to the CD68 positive staining found in the formulations at 1, 4 and 10 weeks. B. CD68 staining of a representative sample of each implant formulation at 1 and 10 weeks (scale bar is 400 μm). The square grid shows the selected magnified area for each formulation. CD68-positive cells are indicated by black arrows (scale bar is 100 μm). C. Ranked implants by two blind observers according to the iNOS positive staining found in the formulations at 1, 4 and 10 weeks</w:t>
      </w:r>
      <w:r>
        <w:rPr>
          <w:rFonts w:cs="Times New Roman" w:ascii="Times New Roman" w:hAnsi="Times New Roman"/>
          <w:bCs/>
          <w:iCs/>
          <w:sz w:val="24"/>
          <w:szCs w:val="18"/>
          <w:lang w:val="en-GB"/>
        </w:rPr>
        <w:t>. D.</w:t>
      </w:r>
      <w:r>
        <w:rPr>
          <w:rFonts w:cs="Times New Roman" w:ascii="Times New Roman" w:hAnsi="Times New Roman"/>
          <w:bCs/>
          <w:iCs/>
          <w:sz w:val="24"/>
          <w:szCs w:val="18"/>
        </w:rPr>
        <w:t xml:space="preserve"> Ranked implants by two blind observers according to the CD206 positive staining found in the formulations at 1, 4 and 10 weeks. </w:t>
      </w:r>
      <w:r>
        <w:rPr>
          <w:rFonts w:cs="Times New Roman" w:ascii="Times New Roman" w:hAnsi="Times New Roman"/>
          <w:bCs/>
          <w:sz w:val="24"/>
          <w:szCs w:val="18"/>
          <w:lang w:val="en-GB"/>
        </w:rPr>
        <w:t xml:space="preserve">The line in the middle of the box is plotted at the median. </w:t>
      </w:r>
      <w:r>
        <w:rPr>
          <w:rFonts w:cs="Times New Roman" w:ascii="Times New Roman" w:hAnsi="Times New Roman"/>
          <w:bCs/>
          <w:sz w:val="24"/>
          <w:szCs w:val="18"/>
        </w:rPr>
        <w:t xml:space="preserve">The box extends from the 25th to 75th percentiles </w:t>
      </w:r>
      <w:r>
        <w:rPr>
          <w:rFonts w:cs="Times New Roman" w:ascii="Times New Roman" w:hAnsi="Times New Roman"/>
          <w:bCs/>
          <w:sz w:val="24"/>
          <w:szCs w:val="18"/>
          <w:lang w:val="en-GB"/>
        </w:rPr>
        <w:t xml:space="preserve">and the whiskers are drawn down to </w:t>
      </w:r>
      <w:r>
        <w:rPr>
          <w:rFonts w:cs="Times New Roman" w:ascii="Times New Roman" w:hAnsi="Times New Roman"/>
          <w:bCs/>
          <w:sz w:val="24"/>
          <w:szCs w:val="18"/>
        </w:rPr>
        <w:t>the 5th percentile and up to the 95th</w:t>
      </w:r>
      <w:r>
        <w:rPr>
          <w:rFonts w:cs="Times New Roman" w:ascii="Times New Roman" w:hAnsi="Times New Roman"/>
          <w:bCs/>
          <w:sz w:val="24"/>
          <w:szCs w:val="18"/>
          <w:lang w:val="en-GB"/>
        </w:rPr>
        <w:t xml:space="preserve">, </w:t>
      </w:r>
      <w:r>
        <w:rPr>
          <w:rFonts w:cs="Times New Roman" w:ascii="Times New Roman" w:hAnsi="Times New Roman"/>
          <w:bCs/>
          <w:iCs/>
          <w:sz w:val="24"/>
          <w:szCs w:val="18"/>
        </w:rPr>
        <w:t xml:space="preserve">(* p &lt; 0.05, ** p &lt; 0.01). Alginate SLM (SLM), alginate SLG (SLG), </w:t>
      </w:r>
      <w:r>
        <w:rPr>
          <w:rFonts w:cs="Times New Roman" w:ascii="Times New Roman" w:hAnsi="Times New Roman"/>
          <w:sz w:val="24"/>
          <w:szCs w:val="24"/>
        </w:rPr>
        <w:t xml:space="preserve">thermoresponsive hyaluronan derivative (HApN), Collagen-I based Recombinant Peptide microspheres (RCP-MS). </w:t>
      </w:r>
    </w:p>
    <w:p>
      <w:pPr>
        <w:pStyle w:val="Normal"/>
        <w:spacing w:lineRule="auto" w:line="240"/>
        <w:jc w:val="both"/>
        <w:rPr>
          <w:rFonts w:ascii="Times New Roman" w:hAnsi="Times New Roman" w:cs="Times New Roman"/>
          <w:b/>
          <w:b/>
          <w:bCs/>
          <w:iCs/>
          <w:sz w:val="24"/>
          <w:szCs w:val="18"/>
        </w:rPr>
      </w:pPr>
      <w:r>
        <w:rPr>
          <w:rFonts w:cs="Times New Roman" w:ascii="Times New Roman" w:hAnsi="Times New Roman"/>
          <w:b/>
          <w:bCs/>
          <w:iCs/>
          <w:sz w:val="24"/>
          <w:szCs w:val="18"/>
        </w:rPr>
      </w:r>
    </w:p>
    <w:p>
      <w:pPr>
        <w:pStyle w:val="Subtitle"/>
        <w:spacing w:lineRule="auto" w:line="360"/>
        <w:jc w:val="both"/>
        <w:rPr>
          <w:rFonts w:ascii="Times New Roman" w:hAnsi="Times New Roman" w:cs="Times New Roman"/>
          <w:sz w:val="24"/>
        </w:rPr>
      </w:pPr>
      <w:r>
        <w:rPr>
          <w:rFonts w:cs="Times New Roman" w:ascii="Times New Roman" w:hAnsi="Times New Roman"/>
          <w:sz w:val="24"/>
        </w:rPr>
        <w:t xml:space="preserve">2.6. Injectable formulations loaded with BMP-2 promoted blood vessel ingrowth </w:t>
      </w:r>
    </w:p>
    <w:p>
      <w:pPr>
        <w:pStyle w:val="Normal"/>
        <w:spacing w:lineRule="auto" w:line="480"/>
        <w:jc w:val="both"/>
        <w:rPr>
          <w:rFonts w:ascii="Times New Roman" w:hAnsi="Times New Roman" w:cs="Times New Roman"/>
          <w:sz w:val="24"/>
        </w:rPr>
      </w:pPr>
      <w:r>
        <w:rPr>
          <w:rFonts w:cs="Times New Roman" w:ascii="Times New Roman" w:hAnsi="Times New Roman"/>
          <w:sz w:val="24"/>
        </w:rPr>
        <w:t>Vascularization is a prerequisite for ossification. In all three formulations blood vessel density increased over time (</w:t>
      </w:r>
      <w:r>
        <w:rPr>
          <w:rFonts w:cs="Times New Roman" w:ascii="Times New Roman" w:hAnsi="Times New Roman"/>
          <w:b/>
          <w:sz w:val="24"/>
        </w:rPr>
        <w:t>Figure 5A</w:t>
      </w:r>
      <w:r>
        <w:rPr>
          <w:rFonts w:cs="Times New Roman" w:ascii="Times New Roman" w:hAnsi="Times New Roman"/>
          <w:sz w:val="24"/>
        </w:rPr>
        <w:t xml:space="preserve">). Interestingly the quantity of blood vessels found within the implants differed markedly between formulations, showing more than five-fold more vessels in the HApN+RCP-MS formulation – </w:t>
      </w:r>
      <w:r>
        <w:rPr>
          <w:rFonts w:cs="Times New Roman" w:ascii="Times New Roman" w:hAnsi="Times New Roman"/>
          <w:bCs/>
          <w:sz w:val="24"/>
        </w:rPr>
        <w:t xml:space="preserve">mean ± SD; </w:t>
      </w:r>
      <w:r>
        <w:rPr>
          <w:rFonts w:cs="Times New Roman" w:ascii="Times New Roman" w:hAnsi="Times New Roman"/>
          <w:sz w:val="24"/>
        </w:rPr>
        <w:t xml:space="preserve">395 </w:t>
      </w:r>
      <w:r>
        <w:rPr>
          <w:rFonts w:cs="Times New Roman" w:ascii="Times New Roman" w:hAnsi="Times New Roman"/>
          <w:bCs/>
          <w:sz w:val="24"/>
        </w:rPr>
        <w:t>±</w:t>
      </w:r>
      <w:r>
        <w:rPr>
          <w:rFonts w:cs="Times New Roman" w:ascii="Times New Roman" w:hAnsi="Times New Roman"/>
          <w:sz w:val="24"/>
        </w:rPr>
        <w:t xml:space="preserve"> 82 counted at 10 weeks– compared to the SLM+RCP-MS –with 144 </w:t>
      </w:r>
      <w:r>
        <w:rPr>
          <w:rFonts w:cs="Times New Roman" w:ascii="Times New Roman" w:hAnsi="Times New Roman"/>
          <w:bCs/>
          <w:sz w:val="24"/>
        </w:rPr>
        <w:t>±</w:t>
      </w:r>
      <w:r>
        <w:rPr>
          <w:rFonts w:cs="Times New Roman" w:ascii="Times New Roman" w:hAnsi="Times New Roman"/>
          <w:sz w:val="24"/>
        </w:rPr>
        <w:t xml:space="preserve"> 79 at 10 week (</w:t>
      </w:r>
      <w:r>
        <w:rPr>
          <w:rFonts w:cs="Times New Roman" w:ascii="Times New Roman" w:hAnsi="Times New Roman"/>
          <w:bCs/>
          <w:sz w:val="24"/>
        </w:rPr>
        <w:t xml:space="preserve">p &lt; 0.001) </w:t>
      </w:r>
      <w:r>
        <w:rPr>
          <w:rFonts w:cs="Times New Roman" w:ascii="Times New Roman" w:hAnsi="Times New Roman"/>
          <w:sz w:val="24"/>
        </w:rPr>
        <w:t>(</w:t>
      </w:r>
      <w:r>
        <w:rPr>
          <w:rFonts w:cs="Times New Roman" w:ascii="Times New Roman" w:hAnsi="Times New Roman"/>
          <w:b/>
          <w:sz w:val="24"/>
        </w:rPr>
        <w:t>Figure 5A-B</w:t>
      </w:r>
      <w:r>
        <w:rPr>
          <w:rFonts w:cs="Times New Roman" w:ascii="Times New Roman" w:hAnsi="Times New Roman"/>
          <w:sz w:val="24"/>
        </w:rPr>
        <w:t>). In addition, in SLG+RCP-MS and HApN+RCP-MS the quantity of blood vessels was significantly higher at 10 weeks than at 1 week (</w:t>
      </w:r>
      <w:r>
        <w:rPr>
          <w:rFonts w:cs="Times New Roman" w:ascii="Times New Roman" w:hAnsi="Times New Roman"/>
          <w:bCs/>
          <w:sz w:val="24"/>
        </w:rPr>
        <w:t>mean ± SD</w:t>
      </w:r>
      <w:r>
        <w:rPr>
          <w:rFonts w:cs="Times New Roman" w:ascii="Times New Roman" w:hAnsi="Times New Roman"/>
          <w:sz w:val="24"/>
        </w:rPr>
        <w:t xml:space="preserve">; 144 </w:t>
      </w:r>
      <w:r>
        <w:rPr>
          <w:rFonts w:cs="Times New Roman" w:ascii="Times New Roman" w:hAnsi="Times New Roman"/>
          <w:bCs/>
          <w:sz w:val="24"/>
        </w:rPr>
        <w:t>±</w:t>
      </w:r>
      <w:r>
        <w:rPr>
          <w:rFonts w:cs="Times New Roman" w:ascii="Times New Roman" w:hAnsi="Times New Roman"/>
          <w:sz w:val="24"/>
        </w:rPr>
        <w:t xml:space="preserve"> 79 vs. 13 </w:t>
      </w:r>
      <w:r>
        <w:rPr>
          <w:rFonts w:cs="Times New Roman" w:ascii="Times New Roman" w:hAnsi="Times New Roman"/>
          <w:bCs/>
          <w:sz w:val="24"/>
        </w:rPr>
        <w:t>±</w:t>
      </w:r>
      <w:r>
        <w:rPr>
          <w:rFonts w:cs="Times New Roman" w:ascii="Times New Roman" w:hAnsi="Times New Roman"/>
          <w:sz w:val="24"/>
        </w:rPr>
        <w:t xml:space="preserve"> 16 in alginate SLG+RCP-MS, and 395 </w:t>
      </w:r>
      <w:r>
        <w:rPr>
          <w:rFonts w:cs="Times New Roman" w:ascii="Times New Roman" w:hAnsi="Times New Roman"/>
          <w:bCs/>
          <w:sz w:val="24"/>
        </w:rPr>
        <w:t>±</w:t>
      </w:r>
      <w:r>
        <w:rPr>
          <w:rFonts w:cs="Times New Roman" w:ascii="Times New Roman" w:hAnsi="Times New Roman"/>
          <w:sz w:val="24"/>
        </w:rPr>
        <w:t xml:space="preserve"> 82 vs. 38 </w:t>
      </w:r>
      <w:r>
        <w:rPr>
          <w:rFonts w:cs="Times New Roman" w:ascii="Times New Roman" w:hAnsi="Times New Roman"/>
          <w:bCs/>
          <w:sz w:val="24"/>
        </w:rPr>
        <w:t>±</w:t>
      </w:r>
      <w:r>
        <w:rPr>
          <w:rFonts w:cs="Times New Roman" w:ascii="Times New Roman" w:hAnsi="Times New Roman"/>
          <w:sz w:val="24"/>
        </w:rPr>
        <w:t xml:space="preserve"> 27 in HApN+RCP-MS) (Figure 5A). Without BMP-2 no significant increase in the number of blood vessels </w:t>
      </w:r>
      <w:r>
        <w:drawing>
          <wp:anchor behindDoc="0" distT="0" distB="0" distL="114300" distR="114300" simplePos="0" locked="0" layoutInCell="1" allowOverlap="1" relativeHeight="5">
            <wp:simplePos x="0" y="0"/>
            <wp:positionH relativeFrom="margin">
              <wp:posOffset>314325</wp:posOffset>
            </wp:positionH>
            <wp:positionV relativeFrom="margin">
              <wp:posOffset>1991995</wp:posOffset>
            </wp:positionV>
            <wp:extent cx="5704205" cy="4580890"/>
            <wp:effectExtent l="0" t="0" r="0" b="0"/>
            <wp:wrapSquare wrapText="bothSides"/>
            <wp:docPr id="1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descr=""/>
                    <pic:cNvPicPr>
                      <a:picLocks noChangeAspect="1" noChangeArrowheads="1"/>
                    </pic:cNvPicPr>
                  </pic:nvPicPr>
                  <pic:blipFill>
                    <a:blip r:embed="rId9"/>
                    <a:srcRect l="0" t="0" r="0" b="5906"/>
                    <a:stretch>
                      <a:fillRect/>
                    </a:stretch>
                  </pic:blipFill>
                  <pic:spPr bwMode="auto">
                    <a:xfrm>
                      <a:off x="0" y="0"/>
                      <a:ext cx="5704205" cy="4580890"/>
                    </a:xfrm>
                    <a:prstGeom prst="rect">
                      <a:avLst/>
                    </a:prstGeom>
                  </pic:spPr>
                </pic:pic>
              </a:graphicData>
            </a:graphic>
          </wp:anchor>
        </w:drawing>
      </w:r>
      <w:r>
        <w:rPr>
          <w:rFonts w:cs="Times New Roman" w:ascii="Times New Roman" w:hAnsi="Times New Roman"/>
          <w:sz w:val="24"/>
        </w:rPr>
        <w:t>w</w:t>
      </w:r>
      <w:r>
        <w:rPr>
          <w:rFonts w:cs="Times New Roman" w:ascii="Times New Roman" w:hAnsi="Times New Roman"/>
          <w:sz w:val="24"/>
        </w:rPr>
        <w:t xml:space="preserve">ere observed between 1 and 10 weeks in any of the formulations (data not shown). </w:t>
      </w:r>
    </w:p>
    <w:p>
      <w:pPr>
        <w:pStyle w:val="Normal"/>
        <w:jc w:val="both"/>
        <w:rPr>
          <w:b/>
          <w:b/>
          <w:bCs/>
        </w:rPr>
      </w:pPr>
      <w:r>
        <w:rPr>
          <w:b/>
          <w:bCs/>
        </w:rPr>
      </w:r>
    </w:p>
    <w:p>
      <w:pPr>
        <w:pStyle w:val="Normal"/>
        <w:spacing w:lineRule="auto" w:line="240"/>
        <w:jc w:val="both"/>
        <w:rPr>
          <w:rFonts w:ascii="Times New Roman" w:hAnsi="Times New Roman" w:cs="Times New Roman"/>
          <w:bCs/>
          <w:iCs/>
          <w:sz w:val="24"/>
          <w:szCs w:val="18"/>
        </w:rPr>
      </w:pPr>
      <w:r>
        <w:rPr>
          <w:rFonts w:cs="Times New Roman" w:ascii="Times New Roman" w:hAnsi="Times New Roman"/>
          <w:b/>
          <w:bCs/>
          <w:iCs/>
          <w:sz w:val="24"/>
          <w:szCs w:val="18"/>
          <w:lang w:val="en-GB"/>
        </w:rPr>
        <w:t>Figure 5. Alginate SLG and hyaluronic acid loaded with BMP-2 significantly promoted blood vessel ingrowth</w:t>
      </w:r>
      <w:r>
        <w:rPr>
          <w:rFonts w:cs="Times New Roman" w:ascii="Times New Roman" w:hAnsi="Times New Roman"/>
          <w:b/>
          <w:iCs/>
          <w:sz w:val="24"/>
          <w:szCs w:val="18"/>
          <w:lang w:val="en-GB"/>
        </w:rPr>
        <w:t xml:space="preserve">. </w:t>
      </w:r>
      <w:r>
        <w:rPr>
          <w:rFonts w:cs="Times New Roman" w:ascii="Times New Roman" w:hAnsi="Times New Roman"/>
          <w:iCs/>
          <w:sz w:val="24"/>
          <w:szCs w:val="18"/>
          <w:lang w:val="en-GB"/>
        </w:rPr>
        <w:t xml:space="preserve">A. Representative pictures of each implant formulation at 10 weeks (scale bar is 800 μm). The square grid shows the selected magnified area for each formulation (scale bar is 200 μm). B. In each section, blood vessels were counted. The graphs show the absolute number of blood vessels counted per formulation formulation at 1, 4 and 10 weeks. </w:t>
      </w:r>
      <w:r>
        <w:rPr>
          <w:rFonts w:cs="Times New Roman" w:ascii="Times New Roman" w:hAnsi="Times New Roman"/>
          <w:sz w:val="24"/>
          <w:szCs w:val="18"/>
          <w:lang w:val="en-GB"/>
        </w:rPr>
        <w:t xml:space="preserve">The line in the middle of the box is plotted at the median. The box extends from the 25th to 75th percentiles and the whiskers are drawn down to the 5th percentile and up to the 95th, </w:t>
      </w:r>
      <w:r>
        <w:rPr>
          <w:rFonts w:cs="Times New Roman" w:ascii="Times New Roman" w:hAnsi="Times New Roman"/>
          <w:iCs/>
          <w:sz w:val="24"/>
          <w:szCs w:val="18"/>
          <w:lang w:val="en-GB"/>
        </w:rPr>
        <w:t>(* p &lt; 0.05, ** p &lt; 0.01, *** p &lt; 0.001)</w:t>
      </w:r>
      <w:r>
        <w:rPr>
          <w:rFonts w:cs="Times New Roman" w:ascii="Times New Roman" w:hAnsi="Times New Roman"/>
          <w:sz w:val="24"/>
          <w:szCs w:val="18"/>
          <w:lang w:val="en-GB"/>
        </w:rPr>
        <w:t xml:space="preserve">. </w:t>
      </w:r>
      <w:r>
        <w:rPr>
          <w:rFonts w:cs="Times New Roman" w:ascii="Times New Roman" w:hAnsi="Times New Roman"/>
          <w:bCs/>
          <w:iCs/>
          <w:sz w:val="24"/>
          <w:szCs w:val="18"/>
        </w:rPr>
        <w:t xml:space="preserve">Alginate SLM (SLM), alginate SLG (SLG), </w:t>
      </w:r>
      <w:r>
        <w:rPr>
          <w:rFonts w:cs="Times New Roman" w:ascii="Times New Roman" w:hAnsi="Times New Roman"/>
          <w:sz w:val="24"/>
          <w:szCs w:val="24"/>
        </w:rPr>
        <w:t xml:space="preserve">thermoresponsive hyaluronan derivative (HApN), Collagen-I based Recombinant Peptide microspheres (RCP-MS). </w:t>
      </w:r>
    </w:p>
    <w:p>
      <w:pPr>
        <w:pStyle w:val="Heading1"/>
        <w:numPr>
          <w:ilvl w:val="0"/>
          <w:numId w:val="0"/>
        </w:numPr>
        <w:spacing w:lineRule="auto" w:line="360"/>
        <w:jc w:val="both"/>
        <w:rPr>
          <w:rFonts w:ascii="Times New Roman" w:hAnsi="Times New Roman" w:eastAsia="Calibri" w:cs="Times New Roman" w:eastAsiaTheme="minorHAnsi"/>
          <w:b w:val="false"/>
          <w:b w:val="false"/>
          <w:bCs w:val="false"/>
          <w:color w:val="auto"/>
          <w:szCs w:val="18"/>
        </w:rPr>
      </w:pPr>
      <w:r>
        <w:rPr>
          <w:rFonts w:eastAsia="Calibri" w:cs="Times New Roman" w:eastAsiaTheme="minorHAnsi" w:ascii="Times New Roman" w:hAnsi="Times New Roman"/>
          <w:b w:val="false"/>
          <w:bCs w:val="false"/>
          <w:color w:val="auto"/>
          <w:szCs w:val="18"/>
        </w:rPr>
      </w:r>
    </w:p>
    <w:p>
      <w:pPr>
        <w:pStyle w:val="Heading1"/>
        <w:numPr>
          <w:ilvl w:val="0"/>
          <w:numId w:val="0"/>
        </w:numPr>
        <w:spacing w:lineRule="auto" w:line="360"/>
        <w:jc w:val="both"/>
        <w:rPr>
          <w:rFonts w:ascii="Times New Roman" w:hAnsi="Times New Roman" w:cs="Times New Roman"/>
        </w:rPr>
      </w:pPr>
      <w:r>
        <w:rPr>
          <w:rFonts w:cs="Times New Roman" w:ascii="Times New Roman" w:hAnsi="Times New Roman"/>
        </w:rPr>
        <w:t>3. Discussion</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In this study, we have developed three different sustained-release formulations with different physical and chemical properties to be used in bone tissue engineering. We have tested </w:t>
      </w:r>
      <w:r>
        <w:rPr>
          <w:rFonts w:cs="Times New Roman" w:ascii="Times New Roman" w:hAnsi="Times New Roman"/>
          <w:i/>
          <w:sz w:val="24"/>
          <w:szCs w:val="24"/>
        </w:rPr>
        <w:t>in situ</w:t>
      </w:r>
      <w:r>
        <w:rPr>
          <w:rFonts w:cs="Times New Roman" w:ascii="Times New Roman" w:hAnsi="Times New Roman"/>
          <w:sz w:val="24"/>
          <w:szCs w:val="24"/>
        </w:rPr>
        <w:t xml:space="preserve"> gelling HApN formulation with thermo-responsive behavior and two alginate formulations with shear-thinning behavior as potential systems for the induction of </w:t>
      </w:r>
      <w:r>
        <w:rPr>
          <w:rFonts w:cs="Times New Roman" w:ascii="Times New Roman" w:hAnsi="Times New Roman"/>
          <w:i/>
          <w:sz w:val="24"/>
          <w:szCs w:val="24"/>
        </w:rPr>
        <w:t>de novo</w:t>
      </w:r>
      <w:r>
        <w:rPr>
          <w:rFonts w:cs="Times New Roman" w:ascii="Times New Roman" w:hAnsi="Times New Roman"/>
          <w:sz w:val="24"/>
          <w:szCs w:val="24"/>
        </w:rPr>
        <w:t xml:space="preserve"> bone formation. We have found differences in the BMP-2 release pattern when loaded in HApN vs. alginate hydrogels. Also, a further decrease in release rate was observed when BMP-2 was absorbed to </w:t>
      </w:r>
      <w:r>
        <w:rPr>
          <w:rFonts w:cs="Times New Roman" w:ascii="Times New Roman" w:hAnsi="Times New Roman"/>
          <w:sz w:val="24"/>
        </w:rPr>
        <w:t>+RCP-MS</w:t>
      </w:r>
      <w:r>
        <w:rPr>
          <w:rFonts w:cs="Times New Roman" w:ascii="Times New Roman" w:hAnsi="Times New Roman"/>
          <w:sz w:val="24"/>
          <w:szCs w:val="24"/>
        </w:rPr>
        <w:t xml:space="preserve"> and then combined with alginate hydrogels. Furthermore, we have shown that the slow-release gel-microsphere system comprised of SLG alginate supported the essential processes needed for bone formation, such as inflammatory cell infiltration, vascularization and osteogenesis </w:t>
      </w:r>
      <w:r>
        <w:rPr>
          <w:rFonts w:cs="Times New Roman" w:ascii="Times New Roman" w:hAnsi="Times New Roman"/>
          <w:i/>
          <w:sz w:val="24"/>
          <w:szCs w:val="24"/>
        </w:rPr>
        <w:t>in vivo</w:t>
      </w:r>
      <w:r>
        <w:rPr>
          <w:rFonts w:cs="Times New Roman" w:ascii="Times New Roman" w:hAnsi="Times New Roman"/>
          <w:sz w:val="24"/>
          <w:szCs w:val="24"/>
        </w:rPr>
        <w:t xml:space="preserve"> and was superior to the SLM alginate and HApN formulations</w:t>
      </w:r>
      <w:r>
        <w:rPr>
          <w:rFonts w:cs="Times New Roman" w:ascii="Times New Roman" w:hAnsi="Times New Roman"/>
          <w:i/>
          <w:sz w:val="24"/>
          <w:szCs w:val="24"/>
        </w:rPr>
        <w:t>.</w:t>
      </w:r>
      <w:r>
        <w:rPr>
          <w:rFonts w:cs="Times New Roman" w:ascii="Times New Roman" w:hAnsi="Times New Roman"/>
          <w:sz w:val="24"/>
          <w:szCs w:val="24"/>
        </w:rPr>
        <w:t xml:space="preserve"> Through analysis of the phenotype of the infiltrating cells and kinetics of blood vessel invasion we shed some light on the possible reasons for the differences observed between formulations. </w:t>
      </w:r>
    </w:p>
    <w:p>
      <w:pPr>
        <w:pStyle w:val="Normal"/>
        <w:spacing w:lineRule="auto" w:line="480"/>
        <w:jc w:val="both"/>
        <w:rPr/>
      </w:pPr>
      <w:r>
        <w:rPr>
          <w:rFonts w:cs="Times New Roman" w:ascii="Times New Roman" w:hAnsi="Times New Roman"/>
          <w:sz w:val="24"/>
          <w:szCs w:val="24"/>
        </w:rPr>
        <w:t xml:space="preserve">Injectable matrices have been the subject of much research in the fields of drug delivery and tissue engineering due to the minimally invasive nature with which they can be delivered </w:t>
      </w:r>
      <w:r>
        <w:fldChar w:fldCharType="begin"/>
      </w:r>
      <w:r>
        <w:rPr/>
        <w:instrText>ADDIN EN.CITE &lt;EndNote&gt;&lt;Cite&gt;&lt;Author&gt;Kretlow&lt;/Author&gt;&lt;Year&gt;2009&lt;/Year&gt;&lt;RecNum&gt;3&lt;/RecNum&gt;&lt;DisplayText&gt;&lt;style face="superscript"&gt;[3]&lt;/style&gt;&lt;/DisplayText&gt;&lt;record&gt;&lt;rec-number&gt;3&lt;/rec-number&gt;&lt;foreign-keys&gt;&lt;key app="EN" db-id="wdds2t9tiwvf9mee0ac52ewfxse5dwxfx9ad" timestamp="1513894145"&gt;3&lt;/key&gt;&lt;/foreign-keys&gt;&lt;ref-type name="Journal Article"&gt;17&lt;/ref-type&gt;&lt;contributors&gt;&lt;authors&gt;&lt;author&gt;Kretlow, J. D.&lt;/author&gt;&lt;author&gt;Young, S.&lt;/author&gt;&lt;author&gt;Klouda, L.&lt;/author&gt;&lt;author&gt;Wong, M.&lt;/author&gt;&lt;author&gt;Mikos, A. G.&lt;/author&gt;&lt;/authors&gt;&lt;/contributors&gt;&lt;auth-address&gt;Department of Bioengineering, Rice University, Houston, TX 77251-1892, USA.&lt;/auth-address&gt;&lt;titles&gt;&lt;title&gt;Injectable biomaterials for regenerating complex craniofacial tissues&lt;/title&gt;&lt;secondary-title&gt;Adv Mater&lt;/secondary-title&gt;&lt;/titles&gt;&lt;pages&gt;3368-93&lt;/pages&gt;&lt;volume&gt;21&lt;/volume&gt;&lt;number&gt;32-33&lt;/number&gt;&lt;edition&gt;2009/09/15&lt;/edition&gt;&lt;dates&gt;&lt;year&gt;2009&lt;/year&gt;&lt;pub-dates&gt;&lt;date&gt;Sep 4&lt;/date&gt;&lt;/pub-dates&gt;&lt;/dates&gt;&lt;isbn&gt;1521-4095 (Electronic)&amp;#xD;0935-9648 (Linking)&lt;/isbn&gt;&lt;accession-num&gt;19750143&lt;/accession-num&gt;&lt;urls&gt;&lt;related-urls&gt;&lt;url&gt;http://www.ncbi.nlm.nih.gov/pubmed/19750143&lt;/url&gt;&lt;url&gt;http://onlinelibrary.wiley.com/store/10.1002/adma.200802009/asset/3368_ftp.pdf?v=1&amp;amp;t=itztafew&amp;amp;s=a3d9d90e4e29f092267e08a3e42df6cf403254d0&lt;/url&gt;&lt;/related-urls&gt;&lt;/urls&gt;&lt;custom2&gt;2742469&lt;/custom2&gt;&lt;electronic-resource-num&gt;10.1002/adma.200802009&lt;/electronic-resource-num&gt;&lt;language&gt;eng&lt;/language&gt;&lt;/record&gt;&lt;/Cite&gt;&lt;/EndNote&gt;</w:instrText>
      </w:r>
      <w:r>
        <w:rPr/>
        <w:fldChar w:fldCharType="separate"/>
      </w:r>
      <w:bookmarkStart w:id="50" w:name="__Fieldmark__2056_1302293411"/>
      <w:r>
        <w:rPr/>
      </w:r>
      <w:r>
        <w:rPr>
          <w:rFonts w:cs="Times New Roman" w:ascii="Times New Roman" w:hAnsi="Times New Roman"/>
          <w:sz w:val="24"/>
          <w:szCs w:val="24"/>
          <w:vertAlign w:val="superscript"/>
        </w:rPr>
        <w:t>[3]</w:t>
      </w:r>
      <w:r>
        <w:rPr/>
      </w:r>
      <w:r>
        <w:rPr/>
        <w:fldChar w:fldCharType="end"/>
      </w:r>
      <w:bookmarkEnd w:id="50"/>
      <w:r>
        <w:rPr>
          <w:rFonts w:cs="Times New Roman" w:ascii="Times New Roman" w:hAnsi="Times New Roman"/>
          <w:sz w:val="24"/>
          <w:szCs w:val="24"/>
        </w:rPr>
        <w:t xml:space="preserve">. We selected alginate and HApN formulations as carriers of </w:t>
      </w:r>
      <w:r>
        <w:rPr>
          <w:rFonts w:cs="Times New Roman" w:ascii="Times New Roman" w:hAnsi="Times New Roman"/>
          <w:sz w:val="24"/>
        </w:rPr>
        <w:t>RCP-MS</w:t>
      </w:r>
      <w:r>
        <w:rPr>
          <w:rFonts w:cs="Times New Roman" w:ascii="Times New Roman" w:hAnsi="Times New Roman"/>
          <w:sz w:val="24"/>
          <w:szCs w:val="24"/>
        </w:rPr>
        <w:t xml:space="preserve"> for two reasons. First, they are both natural-origin polymers that are commonly used for bone regeneration; second, they can form </w:t>
      </w:r>
      <w:r>
        <w:rPr>
          <w:rFonts w:cs="Times New Roman" w:ascii="Times New Roman" w:hAnsi="Times New Roman"/>
          <w:i/>
          <w:sz w:val="24"/>
          <w:szCs w:val="24"/>
        </w:rPr>
        <w:t>in situ</w:t>
      </w:r>
      <w:r>
        <w:rPr>
          <w:rFonts w:cs="Times New Roman" w:ascii="Times New Roman" w:hAnsi="Times New Roman"/>
          <w:sz w:val="24"/>
          <w:szCs w:val="24"/>
        </w:rPr>
        <w:t xml:space="preserve"> gelling systems. The </w:t>
      </w:r>
      <w:r>
        <w:rPr>
          <w:rFonts w:cs="Times New Roman" w:ascii="Times New Roman" w:hAnsi="Times New Roman"/>
          <w:i/>
          <w:sz w:val="24"/>
          <w:szCs w:val="24"/>
        </w:rPr>
        <w:t>in situ</w:t>
      </w:r>
      <w:r>
        <w:rPr>
          <w:rFonts w:cs="Times New Roman" w:ascii="Times New Roman" w:hAnsi="Times New Roman"/>
          <w:sz w:val="24"/>
          <w:szCs w:val="24"/>
        </w:rPr>
        <w:t xml:space="preserve"> hydrogel forming ability of PNIPAM functionalized HA and alginate has already been shown </w:t>
      </w:r>
      <w:r>
        <w:fldChar w:fldCharType="begin"/>
      </w:r>
      <w:r>
        <w:rPr/>
        <w:instrText>ADDIN EN.CITE</w:instrText>
      </w:r>
      <w:r>
        <w:rPr/>
        <w:fldChar w:fldCharType="separate"/>
      </w:r>
      <w:bookmarkStart w:id="51" w:name="__Fieldmark__2087_1302293411"/>
      <w:r>
        <w:rPr/>
      </w:r>
      <w:r>
        <w:rPr/>
      </w:r>
      <w:r>
        <w:rPr/>
        <w:fldChar w:fldCharType="end"/>
      </w:r>
      <w:r>
        <w:fldChar w:fldCharType="begin"/>
      </w:r>
      <w:r>
        <w:rPr/>
        <w:instrText>ADDIN EN.CITE.DATA</w:instrText>
      </w:r>
      <w:r>
        <w:rPr/>
        <w:fldChar w:fldCharType="separate"/>
      </w:r>
      <w:bookmarkStart w:id="52" w:name="__Fieldmark__2086_1302293411"/>
      <w:bookmarkEnd w:id="51"/>
      <w:r>
        <w:rPr/>
      </w:r>
      <w:r>
        <w:rPr>
          <w:rFonts w:cs="Times New Roman" w:ascii="Times New Roman" w:hAnsi="Times New Roman"/>
          <w:sz w:val="24"/>
          <w:szCs w:val="24"/>
          <w:vertAlign w:val="superscript"/>
        </w:rPr>
        <w:t>[22-23]</w:t>
      </w:r>
      <w:r>
        <w:rPr/>
      </w:r>
      <w:r>
        <w:rPr/>
        <w:fldChar w:fldCharType="end"/>
      </w:r>
      <w:bookmarkEnd w:id="52"/>
      <w:r>
        <w:rPr>
          <w:rFonts w:cs="Times New Roman" w:ascii="Times New Roman" w:hAnsi="Times New Roman"/>
          <w:sz w:val="24"/>
          <w:szCs w:val="24"/>
        </w:rPr>
        <w:t xml:space="preserve">. However, the formulations with microspheres are novel and were developed specifically for this study. One advantage of the system with alginate is that it can form a reversible hydrogel (thixotropic) which has not been observed in other </w:t>
      </w:r>
      <w:r>
        <w:rPr>
          <w:rFonts w:cs="Times New Roman" w:ascii="Times New Roman" w:hAnsi="Times New Roman"/>
          <w:i/>
          <w:sz w:val="24"/>
          <w:szCs w:val="24"/>
        </w:rPr>
        <w:t>in situ</w:t>
      </w:r>
      <w:r>
        <w:rPr>
          <w:rFonts w:cs="Times New Roman" w:ascii="Times New Roman" w:hAnsi="Times New Roman"/>
          <w:sz w:val="24"/>
          <w:szCs w:val="24"/>
        </w:rPr>
        <w:t xml:space="preserve"> gelling alginates </w:t>
      </w:r>
      <w:r>
        <w:fldChar w:fldCharType="begin"/>
      </w:r>
      <w:r>
        <w:rPr/>
        <w:instrText>ADDIN EN.CITE &lt;EndNote&gt;&lt;Cite&gt;&lt;Author&gt;Hori&lt;/Author&gt;&lt;Year&gt;2009&lt;/Year&gt;&lt;RecNum&gt;25&lt;/RecNum&gt;&lt;DisplayText&gt;&lt;style face="superscript"&gt;[24]&lt;/style&gt;&lt;/DisplayText&gt;&lt;record&gt;&lt;rec-number&gt;25&lt;/rec-number&gt;&lt;foreign-keys&gt;&lt;key app="EN" db-id="wdds2t9tiwvf9mee0ac52ewfxse5dwxfx9ad" timestamp="1513894149"&gt;25&lt;/key&gt;&lt;/foreign-keys&gt;&lt;ref-type name="Journal Article"&gt;17&lt;/ref-type&gt;&lt;contributors&gt;&lt;authors&gt;&lt;author&gt;Hori, Yuki&lt;/author&gt;&lt;author&gt;Winans, Amy M&lt;/author&gt;&lt;author&gt;Irvine, Darrell J&lt;/author&gt;&lt;/authors&gt;&lt;/contributors&gt;&lt;titles&gt;&lt;title&gt;Modular injectable matrices based on alginate solution/microsphere mixtures that gel in situ and co-deliver immunomodulatory factors&lt;/title&gt;&lt;secondary-title&gt;Acta biomaterialia&lt;/secondary-title&gt;&lt;/titles&gt;&lt;periodical&gt;&lt;full-title&gt;Acta biomaterialia&lt;/full-title&gt;&lt;abbr-1&gt;Acta Biomater.&lt;/abbr-1&gt;&lt;/periodical&gt;&lt;pages&gt;969-982&lt;/pages&gt;&lt;volume&gt;5&lt;/volume&gt;&lt;number&gt;4&lt;/number&gt;&lt;dates&gt;&lt;year&gt;2009&lt;/year&gt;&lt;/dates&gt;&lt;isbn&gt;1742-7061&lt;/isbn&gt;&lt;urls&gt;&lt;/urls&gt;&lt;/record&gt;&lt;/Cite&gt;&lt;/EndNote&gt;</w:instrText>
      </w:r>
      <w:r>
        <w:rPr/>
        <w:fldChar w:fldCharType="separate"/>
      </w:r>
      <w:bookmarkStart w:id="53" w:name="__Fieldmark__2118_1302293411"/>
      <w:r>
        <w:rPr/>
      </w:r>
      <w:r>
        <w:rPr>
          <w:rFonts w:cs="Times New Roman" w:ascii="Times New Roman" w:hAnsi="Times New Roman"/>
          <w:sz w:val="24"/>
          <w:szCs w:val="24"/>
          <w:vertAlign w:val="superscript"/>
        </w:rPr>
        <w:t>[24]</w:t>
      </w:r>
      <w:r>
        <w:rPr/>
      </w:r>
      <w:r>
        <w:rPr/>
        <w:fldChar w:fldCharType="end"/>
      </w:r>
      <w:bookmarkEnd w:id="53"/>
      <w:r>
        <w:rPr>
          <w:rFonts w:cs="Times New Roman" w:ascii="Times New Roman" w:hAnsi="Times New Roman"/>
          <w:sz w:val="24"/>
          <w:szCs w:val="24"/>
        </w:rPr>
        <w:t xml:space="preserve">. This reversible behavior of the gel makes handling much easier since the hydrogel can be prepared in advance and stored prior to application. Another advantage of both types of alginate formulations used in this study was the gelation time, which was so quick that the formed gel stayed in the injection site. In addition, the relatively slow degradation time of the alginates matched the time required for bone formation. The alginates showed some signs of initial degradation on histology by the first week, but after 10 weeks hydrogel was still present, which kept the microspheres and protein at the site, supported the formation of new bone and delayed the release of BMP-2. </w:t>
      </w:r>
    </w:p>
    <w:p>
      <w:pPr>
        <w:pStyle w:val="Normal"/>
        <w:spacing w:lineRule="auto" w:line="480"/>
        <w:jc w:val="both"/>
        <w:rPr/>
      </w:pPr>
      <w:r>
        <w:rPr>
          <w:rFonts w:cs="Times New Roman" w:ascii="Times New Roman" w:hAnsi="Times New Roman"/>
          <w:sz w:val="24"/>
          <w:szCs w:val="24"/>
        </w:rPr>
        <w:t xml:space="preserve">It is still controversial what the ideal BMP-2 release kinetics are to successfully form bone. Some studies have shown BMP2-mediated bone formation was not influenced by the release timing, while others demonstrated that in ectopic sites sustained release significantly enhanced bone formation compared to burst release </w:t>
      </w:r>
      <w:r>
        <w:fldChar w:fldCharType="begin"/>
      </w:r>
      <w:r>
        <w:rPr/>
        <w:instrText>ADDIN EN.CITE</w:instrText>
      </w:r>
      <w:r>
        <w:rPr/>
        <w:fldChar w:fldCharType="separate"/>
      </w:r>
      <w:bookmarkStart w:id="54" w:name="__Fieldmark__2172_1302293411"/>
      <w:r>
        <w:rPr/>
      </w:r>
      <w:r>
        <w:rPr/>
      </w:r>
      <w:r>
        <w:rPr/>
        <w:fldChar w:fldCharType="end"/>
      </w:r>
      <w:r>
        <w:fldChar w:fldCharType="begin"/>
      </w:r>
      <w:r>
        <w:rPr/>
        <w:instrText>ADDIN EN.CITE.DATA</w:instrText>
      </w:r>
      <w:r>
        <w:rPr/>
        <w:fldChar w:fldCharType="separate"/>
      </w:r>
      <w:bookmarkStart w:id="55" w:name="__Fieldmark__2171_1302293411"/>
      <w:bookmarkEnd w:id="54"/>
      <w:r>
        <w:rPr/>
      </w:r>
      <w:r>
        <w:rPr>
          <w:rFonts w:cs="Times New Roman" w:ascii="Times New Roman" w:hAnsi="Times New Roman"/>
          <w:sz w:val="24"/>
          <w:szCs w:val="24"/>
          <w:vertAlign w:val="superscript"/>
        </w:rPr>
        <w:t>[14, 25]</w:t>
      </w:r>
      <w:r>
        <w:rPr/>
      </w:r>
      <w:r>
        <w:rPr/>
        <w:fldChar w:fldCharType="end"/>
      </w:r>
      <w:bookmarkEnd w:id="55"/>
      <w:r>
        <w:rPr>
          <w:rFonts w:cs="Times New Roman" w:ascii="Times New Roman" w:hAnsi="Times New Roman"/>
          <w:sz w:val="24"/>
          <w:szCs w:val="24"/>
        </w:rPr>
        <w:t xml:space="preserve">. BMP-2 is chemoattractant to osteoprogenitor cells </w:t>
      </w:r>
      <w:r>
        <w:fldChar w:fldCharType="begin"/>
      </w:r>
      <w:r>
        <w:rPr/>
        <w:instrText>ADDIN EN.CITE</w:instrText>
      </w:r>
      <w:r>
        <w:rPr/>
        <w:fldChar w:fldCharType="separate"/>
      </w:r>
      <w:bookmarkStart w:id="56" w:name="__Fieldmark__2182_1302293411"/>
      <w:r>
        <w:rPr/>
      </w:r>
      <w:r>
        <w:rPr/>
      </w:r>
      <w:r>
        <w:rPr/>
        <w:fldChar w:fldCharType="end"/>
      </w:r>
      <w:r>
        <w:fldChar w:fldCharType="begin"/>
      </w:r>
      <w:r>
        <w:rPr/>
        <w:instrText>ADDIN EN.CITE.DATA</w:instrText>
      </w:r>
      <w:r>
        <w:rPr/>
        <w:fldChar w:fldCharType="separate"/>
      </w:r>
      <w:bookmarkStart w:id="57" w:name="__Fieldmark__2181_1302293411"/>
      <w:bookmarkEnd w:id="56"/>
      <w:r>
        <w:rPr/>
      </w:r>
      <w:r>
        <w:rPr>
          <w:rFonts w:cs="Times New Roman" w:ascii="Times New Roman" w:hAnsi="Times New Roman"/>
          <w:sz w:val="24"/>
          <w:szCs w:val="24"/>
          <w:vertAlign w:val="superscript"/>
        </w:rPr>
        <w:t>[26]</w:t>
      </w:r>
      <w:r>
        <w:rPr/>
      </w:r>
      <w:r>
        <w:rPr/>
        <w:fldChar w:fldCharType="end"/>
      </w:r>
      <w:bookmarkEnd w:id="57"/>
      <w:r>
        <w:rPr>
          <w:rFonts w:cs="Times New Roman" w:ascii="Times New Roman" w:hAnsi="Times New Roman"/>
          <w:sz w:val="24"/>
          <w:szCs w:val="24"/>
        </w:rPr>
        <w:t xml:space="preserve"> and it is generally accepted that the delivery vehicle should maintain BMP2 concentration within the therapeutic frame for enough time to allow recruitment and differentiation of osteoprogenitor cells. Therefore, the type of hydrogel chosen is important. In our study, the diffusion of BMP-2 seems to be faster in the SLM alginate than in the SLG hydrogel. However, when loaded in the microspheres the opposite happens, being faster the release in the SLG formulation. The slightly acidic environment initially created with GDL, might have solubilized BMP-2 more and led to more release. Previous publications have also shown that using microsphere/hydrogel combinations slows down protein release compared to the use of only hydrogels </w:t>
      </w:r>
      <w:r>
        <w:fldChar w:fldCharType="begin"/>
      </w:r>
      <w:r>
        <w:rPr/>
        <w:instrText>ADDIN EN.CITE</w:instrText>
      </w:r>
      <w:r>
        <w:rPr/>
        <w:fldChar w:fldCharType="separate"/>
      </w:r>
      <w:bookmarkStart w:id="58" w:name="__Fieldmark__2198_1302293411"/>
      <w:r>
        <w:rPr/>
      </w:r>
      <w:r>
        <w:rPr/>
      </w:r>
      <w:r>
        <w:rPr/>
        <w:fldChar w:fldCharType="end"/>
      </w:r>
      <w:r>
        <w:fldChar w:fldCharType="begin"/>
      </w:r>
      <w:r>
        <w:rPr/>
        <w:instrText>ADDIN EN.CITE.DATA</w:instrText>
      </w:r>
      <w:r>
        <w:rPr/>
        <w:fldChar w:fldCharType="separate"/>
      </w:r>
      <w:bookmarkStart w:id="59" w:name="__Fieldmark__2197_1302293411"/>
      <w:bookmarkEnd w:id="58"/>
      <w:r>
        <w:rPr/>
      </w:r>
      <w:r>
        <w:rPr>
          <w:rFonts w:cs="Times New Roman" w:ascii="Times New Roman" w:hAnsi="Times New Roman"/>
          <w:sz w:val="24"/>
          <w:szCs w:val="24"/>
          <w:vertAlign w:val="superscript"/>
        </w:rPr>
        <w:t>[27]</w:t>
      </w:r>
      <w:r>
        <w:rPr/>
      </w:r>
      <w:r>
        <w:rPr/>
        <w:fldChar w:fldCharType="end"/>
      </w:r>
      <w:bookmarkEnd w:id="59"/>
      <w:r>
        <w:rPr>
          <w:rFonts w:cs="Times New Roman" w:ascii="Times New Roman" w:hAnsi="Times New Roman"/>
          <w:sz w:val="24"/>
          <w:szCs w:val="24"/>
        </w:rPr>
        <w:t xml:space="preserve"> . Our results are in agreement with those studies as we have observed 20% more BMP-2 retention when SLG and SLM were combined with RCP-MS. We have previously shown that the RCP-MS can only be degraded by collagenase treatment due to the highly crosslinked network and that when particles are fully degraded, BMP-2 could be released from the RCP-MS </w:t>
      </w:r>
      <w:r>
        <w:fldChar w:fldCharType="begin"/>
      </w:r>
      <w:r>
        <w:rPr/>
        <w:instrText>ADDIN EN.CITE</w:instrText>
      </w:r>
      <w:r>
        <w:rPr/>
        <w:fldChar w:fldCharType="separate"/>
      </w:r>
      <w:bookmarkStart w:id="60" w:name="__Fieldmark__2213_1302293411"/>
      <w:r>
        <w:rPr/>
      </w:r>
      <w:r>
        <w:rPr/>
      </w:r>
      <w:r>
        <w:rPr/>
        <w:fldChar w:fldCharType="end"/>
      </w:r>
      <w:r>
        <w:fldChar w:fldCharType="begin"/>
      </w:r>
      <w:r>
        <w:rPr/>
        <w:instrText>ADDIN EN.CITE.DATA</w:instrText>
      </w:r>
      <w:r>
        <w:rPr/>
        <w:fldChar w:fldCharType="separate"/>
      </w:r>
      <w:bookmarkStart w:id="61" w:name="__Fieldmark__2212_1302293411"/>
      <w:bookmarkEnd w:id="60"/>
      <w:r>
        <w:rPr/>
      </w:r>
      <w:r>
        <w:rPr>
          <w:rFonts w:cs="Times New Roman" w:ascii="Times New Roman" w:hAnsi="Times New Roman"/>
          <w:sz w:val="24"/>
          <w:szCs w:val="24"/>
          <w:vertAlign w:val="superscript"/>
        </w:rPr>
        <w:t>[10c]</w:t>
      </w:r>
      <w:r>
        <w:rPr/>
      </w:r>
      <w:r>
        <w:rPr/>
        <w:fldChar w:fldCharType="end"/>
      </w:r>
      <w:bookmarkEnd w:id="61"/>
      <w:r>
        <w:rPr>
          <w:rFonts w:cs="Times New Roman" w:ascii="Times New Roman" w:hAnsi="Times New Roman"/>
          <w:sz w:val="24"/>
          <w:szCs w:val="24"/>
        </w:rPr>
        <w:t xml:space="preserve">. Collagenase is crucial for the remodeling of collagenous extracellular matrices, including bone tissues and it is expressed by both osteoblasts and osteoclasts </w:t>
      </w:r>
      <w:r>
        <w:fldChar w:fldCharType="begin"/>
      </w:r>
      <w:r>
        <w:rPr/>
        <w:instrText>ADDIN EN.CITE</w:instrText>
      </w:r>
      <w:r>
        <w:rPr/>
        <w:fldChar w:fldCharType="separate"/>
      </w:r>
      <w:bookmarkStart w:id="62" w:name="__Fieldmark__2230_1302293411"/>
      <w:r>
        <w:rPr/>
      </w:r>
      <w:r>
        <w:rPr/>
      </w:r>
      <w:r>
        <w:rPr/>
        <w:fldChar w:fldCharType="end"/>
      </w:r>
      <w:r>
        <w:fldChar w:fldCharType="begin"/>
      </w:r>
      <w:r>
        <w:rPr/>
        <w:instrText>ADDIN EN.CITE.DATA</w:instrText>
      </w:r>
      <w:r>
        <w:rPr/>
        <w:fldChar w:fldCharType="separate"/>
      </w:r>
      <w:bookmarkStart w:id="63" w:name="__Fieldmark__2229_1302293411"/>
      <w:bookmarkEnd w:id="62"/>
      <w:r>
        <w:rPr/>
      </w:r>
      <w:r>
        <w:rPr>
          <w:rFonts w:cs="Times New Roman" w:ascii="Times New Roman" w:hAnsi="Times New Roman"/>
          <w:sz w:val="24"/>
          <w:szCs w:val="24"/>
          <w:vertAlign w:val="superscript"/>
        </w:rPr>
        <w:t>[28]</w:t>
      </w:r>
      <w:r>
        <w:rPr/>
      </w:r>
      <w:r>
        <w:rPr/>
        <w:fldChar w:fldCharType="end"/>
      </w:r>
      <w:bookmarkEnd w:id="63"/>
      <w:r>
        <w:rPr>
          <w:rFonts w:cs="Times New Roman" w:ascii="Times New Roman" w:hAnsi="Times New Roman"/>
          <w:sz w:val="24"/>
          <w:szCs w:val="24"/>
        </w:rPr>
        <w:t xml:space="preserve">. These findings suggest that the collagenase expressed by the infiltrating cells might be an important factor for bone formation. In our study, it might have been also relevant for </w:t>
      </w:r>
      <w:r>
        <w:rPr>
          <w:rFonts w:cs="Times New Roman" w:ascii="Times New Roman" w:hAnsi="Times New Roman"/>
          <w:i/>
          <w:sz w:val="24"/>
          <w:szCs w:val="24"/>
        </w:rPr>
        <w:t>in vivo</w:t>
      </w:r>
      <w:r>
        <w:rPr>
          <w:rFonts w:cs="Times New Roman" w:ascii="Times New Roman" w:hAnsi="Times New Roman"/>
          <w:sz w:val="24"/>
          <w:szCs w:val="24"/>
        </w:rPr>
        <w:t xml:space="preserve"> BMP-2 release from the RCP-MS and may have been a determining factor in the differences in bone formation observed between formulations. SLG</w:t>
      </w:r>
      <w:r>
        <w:rPr>
          <w:rFonts w:cs="Times New Roman" w:ascii="Times New Roman" w:hAnsi="Times New Roman"/>
          <w:sz w:val="24"/>
        </w:rPr>
        <w:t>+RCP-MS</w:t>
      </w:r>
      <w:r>
        <w:rPr>
          <w:rFonts w:cs="Times New Roman" w:ascii="Times New Roman" w:hAnsi="Times New Roman"/>
          <w:sz w:val="24"/>
          <w:szCs w:val="24"/>
        </w:rPr>
        <w:t xml:space="preserve"> lead to more BMP-2 release than SLM</w:t>
      </w:r>
      <w:r>
        <w:rPr>
          <w:rFonts w:cs="Times New Roman" w:ascii="Times New Roman" w:hAnsi="Times New Roman"/>
          <w:sz w:val="24"/>
        </w:rPr>
        <w:t>+RCP-MS</w:t>
      </w:r>
      <w:r>
        <w:rPr>
          <w:rFonts w:cs="Times New Roman" w:ascii="Times New Roman" w:hAnsi="Times New Roman"/>
          <w:sz w:val="24"/>
          <w:szCs w:val="24"/>
        </w:rPr>
        <w:t xml:space="preserve"> resulting in more bone formation. When HApN was used as a hydrogel, with or without the addition of RCP-MS, most of it was retained and no bone formation was observed. These data suggest a smaller pore size of HApN hydrogel due to higher molecular weight and initial dry content or a strong interaction between thermo-responsive HApN hydrogel and BMP-2 resulting in the retention of the protein. This has been observed previously for HA. In one study, HA-based powder gel composite showed slow release of less than 20% of the total amount of rhBMP-2 </w:t>
      </w:r>
      <w:r>
        <w:fldChar w:fldCharType="begin"/>
      </w:r>
      <w:r>
        <w:rPr/>
        <w:instrText>ADDIN EN.CITE</w:instrText>
      </w:r>
      <w:r>
        <w:rPr/>
        <w:fldChar w:fldCharType="separate"/>
      </w:r>
      <w:bookmarkStart w:id="64" w:name="__Fieldmark__2287_1302293411"/>
      <w:r>
        <w:rPr/>
      </w:r>
      <w:r>
        <w:rPr/>
      </w:r>
      <w:r>
        <w:rPr/>
        <w:fldChar w:fldCharType="end"/>
      </w:r>
      <w:r>
        <w:fldChar w:fldCharType="begin"/>
      </w:r>
      <w:r>
        <w:rPr/>
        <w:instrText>ADDIN EN.CITE.DATA</w:instrText>
      </w:r>
      <w:r>
        <w:rPr/>
        <w:fldChar w:fldCharType="separate"/>
      </w:r>
      <w:bookmarkStart w:id="65" w:name="__Fieldmark__2286_1302293411"/>
      <w:bookmarkEnd w:id="64"/>
      <w:r>
        <w:rPr/>
      </w:r>
      <w:r>
        <w:rPr>
          <w:rFonts w:cs="Times New Roman" w:ascii="Times New Roman" w:hAnsi="Times New Roman"/>
          <w:sz w:val="24"/>
          <w:szCs w:val="24"/>
          <w:vertAlign w:val="superscript"/>
        </w:rPr>
        <w:t>[29]</w:t>
      </w:r>
      <w:r>
        <w:rPr/>
      </w:r>
      <w:r>
        <w:rPr/>
        <w:fldChar w:fldCharType="end"/>
      </w:r>
      <w:bookmarkEnd w:id="65"/>
      <w:r>
        <w:rPr>
          <w:rFonts w:cs="Times New Roman" w:ascii="Times New Roman" w:hAnsi="Times New Roman"/>
          <w:sz w:val="24"/>
          <w:szCs w:val="24"/>
        </w:rPr>
        <w:t xml:space="preserve">. Most likely this lack of release prevented the attraction of the necessary cells at the early stages and by the time it had been released the material was too degraded to modulate the release rate or structurally support bone formation. Whether this affinity for BMP-2 is specific to PNIPAM functionalized HA or is a more general phenomenon requires further investigation. It is important to mention that in alginate formulations calcium carbonate was added to crosslink the hydrogels and therefore, calcium ions could still be present during the experiment. It has been widely demonstrated that the addition of calcium ions enhances the osteogenic capacity of osteoprogenitor cells and the overall bone formationand consequently, might have a positive effect in the outcome observed when alginate formulations were used in this study. However, it is unlikely that the significant difference in terms of bone formation between the different slow-release systems tested is only due to the presence of calcium ions, but to their physical properties such as stiffness or degradation rate. </w:t>
      </w:r>
    </w:p>
    <w:p>
      <w:pPr>
        <w:pStyle w:val="Normal"/>
        <w:spacing w:lineRule="auto" w:line="480"/>
        <w:jc w:val="both"/>
        <w:rPr/>
      </w:pPr>
      <w:r>
        <w:rPr>
          <w:rFonts w:cs="Times New Roman" w:ascii="Times New Roman" w:hAnsi="Times New Roman"/>
          <w:sz w:val="24"/>
          <w:szCs w:val="24"/>
        </w:rPr>
        <w:t xml:space="preserve">The mechanical properties of the alginates showed that the storage (elastic) moduli are in the range of elastic moduli of endothelial tissue and stromal tissue </w:t>
      </w:r>
      <w:r>
        <w:fldChar w:fldCharType="begin"/>
      </w:r>
      <w:r>
        <w:rPr/>
        <w:instrText>ADDIN EN.CITE &lt;EndNote&gt;&lt;Cite&gt;&lt;Author&gt;Cox&lt;/Author&gt;&lt;Year&gt;2011&lt;/Year&gt;&lt;RecNum&gt;29&lt;/RecNum&gt;&lt;DisplayText&gt;&lt;style face="superscript"&gt;[30]&lt;/style&gt;&lt;/DisplayText&gt;&lt;record&gt;&lt;rec-number&gt;29&lt;/rec-number&gt;&lt;foreign-keys&gt;&lt;key app="EN" db-id="wdds2t9tiwvf9mee0ac52ewfxse5dwxfx9ad" timestamp="1513894150"&gt;29&lt;/key&gt;&lt;/foreign-keys&gt;&lt;ref-type name="Journal Article"&gt;17&lt;/ref-type&gt;&lt;contributors&gt;&lt;authors&gt;&lt;author&gt;Cox, T. R.&lt;/author&gt;&lt;author&gt;Erler, J. T.&lt;/author&gt;&lt;/authors&gt;&lt;/contributors&gt;&lt;auth-address&gt;Cancer Research UK Tumour Cell Signalling Unit, Section of Cell and Molecular Biology, The Institute of Cancer Research, London, UK.&lt;/auth-address&gt;&lt;titles&gt;&lt;title&gt;Remodeling and homeostasis of the extracellular matrix: implications for fibrotic diseases and cancer&lt;/title&gt;&lt;secondary-title&gt;Dis Model Mech&lt;/secondary-title&gt;&lt;/titles&gt;&lt;pages&gt;165-78&lt;/pages&gt;&lt;volume&gt;4&lt;/volume&gt;&lt;number&gt;2&lt;/number&gt;&lt;keywords&gt;&lt;keyword&gt;Animals&lt;/keyword&gt;&lt;keyword&gt;Cells/metabolism&lt;/keyword&gt;&lt;keyword&gt;Extracellular Matrix/*metabolism/*pathology&lt;/keyword&gt;&lt;keyword&gt;Fibrosis&lt;/keyword&gt;&lt;keyword&gt;*Homeostasis&lt;/keyword&gt;&lt;keyword&gt;Humans&lt;/keyword&gt;&lt;keyword&gt;Mice&lt;/keyword&gt;&lt;keyword&gt;Neoplasm Metastasis&lt;/keyword&gt;&lt;keyword&gt;Neoplasms/*metabolism/*pathology&lt;/keyword&gt;&lt;/keywords&gt;&lt;dates&gt;&lt;year&gt;2011&lt;/year&gt;&lt;pub-dates&gt;&lt;date&gt;Mar&lt;/date&gt;&lt;/pub-dates&gt;&lt;/dates&gt;&lt;isbn&gt;1754-8411 (Electronic)&amp;#xD;1754-8403 (Linking)&lt;/isbn&gt;&lt;accession-num&gt;21324931&lt;/accession-num&gt;&lt;urls&gt;&lt;related-urls&gt;&lt;url&gt;https://www.ncbi.nlm.nih.gov/pubmed/21324931&lt;/url&gt;&lt;/related-urls&gt;&lt;/urls&gt;&lt;custom2&gt;PMC3046088&lt;/custom2&gt;&lt;electronic-resource-num&gt;10.1242/dmm.004077&lt;/electronic-resource-num&gt;&lt;/record&gt;&lt;/Cite&gt;&lt;/EndNote&gt;</w:instrText>
      </w:r>
      <w:r>
        <w:rPr/>
        <w:fldChar w:fldCharType="separate"/>
      </w:r>
      <w:bookmarkStart w:id="66" w:name="__Fieldmark__2321_1302293411"/>
      <w:r>
        <w:rPr/>
      </w:r>
      <w:r>
        <w:rPr>
          <w:rFonts w:cs="Times New Roman" w:ascii="Times New Roman" w:hAnsi="Times New Roman"/>
          <w:sz w:val="24"/>
          <w:szCs w:val="24"/>
          <w:vertAlign w:val="superscript"/>
        </w:rPr>
        <w:t>[30]</w:t>
      </w:r>
      <w:r>
        <w:rPr/>
      </w:r>
      <w:r>
        <w:rPr/>
        <w:fldChar w:fldCharType="end"/>
      </w:r>
      <w:bookmarkEnd w:id="66"/>
      <w:r>
        <w:rPr>
          <w:rFonts w:cs="Times New Roman" w:ascii="Times New Roman" w:hAnsi="Times New Roman"/>
          <w:sz w:val="24"/>
          <w:szCs w:val="24"/>
        </w:rPr>
        <w:t xml:space="preserve">. However, the elastic modulus of HApN with microspheres is higher than that of alginates and comparable to elastic modulus of a smooth muscle </w:t>
      </w:r>
      <w:r>
        <w:fldChar w:fldCharType="begin"/>
      </w:r>
      <w:r>
        <w:rPr/>
        <w:instrText>ADDIN EN.CITE &lt;EndNote&gt;&lt;Cite&gt;&lt;Author&gt;Cox&lt;/Author&gt;&lt;Year&gt;2011&lt;/Year&gt;&lt;RecNum&gt;29&lt;/RecNum&gt;&lt;DisplayText&gt;&lt;style face="superscript"&gt;[30]&lt;/style&gt;&lt;/DisplayText&gt;&lt;record&gt;&lt;rec-number&gt;29&lt;/rec-number&gt;&lt;foreign-keys&gt;&lt;key app="EN" db-id="wdds2t9tiwvf9mee0ac52ewfxse5dwxfx9ad" timestamp="1513894150"&gt;29&lt;/key&gt;&lt;/foreign-keys&gt;&lt;ref-type name="Journal Article"&gt;17&lt;/ref-type&gt;&lt;contributors&gt;&lt;authors&gt;&lt;author&gt;Cox, T. R.&lt;/author&gt;&lt;author&gt;Erler, J. T.&lt;/author&gt;&lt;/authors&gt;&lt;/contributors&gt;&lt;auth-address&gt;Cancer Research UK Tumour Cell Signalling Unit, Section of Cell and Molecular Biology, The Institute of Cancer Research, London, UK.&lt;/auth-address&gt;&lt;titles&gt;&lt;title&gt;Remodeling and homeostasis of the extracellular matrix: implications for fibrotic diseases and cancer&lt;/title&gt;&lt;secondary-title&gt;Dis Model Mech&lt;/secondary-title&gt;&lt;/titles&gt;&lt;pages&gt;165-78&lt;/pages&gt;&lt;volume&gt;4&lt;/volume&gt;&lt;number&gt;2&lt;/number&gt;&lt;keywords&gt;&lt;keyword&gt;Animals&lt;/keyword&gt;&lt;keyword&gt;Cells/metabolism&lt;/keyword&gt;&lt;keyword&gt;Extracellular Matrix/*metabolism/*pathology&lt;/keyword&gt;&lt;keyword&gt;Fibrosis&lt;/keyword&gt;&lt;keyword&gt;*Homeostasis&lt;/keyword&gt;&lt;keyword&gt;Humans&lt;/keyword&gt;&lt;keyword&gt;Mice&lt;/keyword&gt;&lt;keyword&gt;Neoplasm Metastasis&lt;/keyword&gt;&lt;keyword&gt;Neoplasms/*metabolism/*pathology&lt;/keyword&gt;&lt;/keywords&gt;&lt;dates&gt;&lt;year&gt;2011&lt;/year&gt;&lt;pub-dates&gt;&lt;date&gt;Mar&lt;/date&gt;&lt;/pub-dates&gt;&lt;/dates&gt;&lt;isbn&gt;1754-8411 (Electronic)&amp;#xD;1754-8403 (Linking)&lt;/isbn&gt;&lt;accession-num&gt;21324931&lt;/accession-num&gt;&lt;urls&gt;&lt;related-urls&gt;&lt;url&gt;https://www.ncbi.nlm.nih.gov/pubmed/21324931&lt;/url&gt;&lt;/related-urls&gt;&lt;/urls&gt;&lt;custom2&gt;PMC3046088&lt;/custom2&gt;&lt;electronic-resource-num&gt;10.1242/dmm.004077&lt;/electronic-resource-num&gt;&lt;/record&gt;&lt;/Cite&gt;&lt;/EndNote&gt;</w:instrText>
      </w:r>
      <w:r>
        <w:rPr/>
        <w:fldChar w:fldCharType="separate"/>
      </w:r>
      <w:bookmarkStart w:id="67" w:name="__Fieldmark__2330_1302293411"/>
      <w:r>
        <w:rPr/>
      </w:r>
      <w:r>
        <w:rPr>
          <w:rFonts w:cs="Times New Roman" w:ascii="Times New Roman" w:hAnsi="Times New Roman"/>
          <w:sz w:val="24"/>
          <w:szCs w:val="24"/>
          <w:vertAlign w:val="superscript"/>
        </w:rPr>
        <w:t>[30]</w:t>
      </w:r>
      <w:r>
        <w:rPr/>
      </w:r>
      <w:r>
        <w:rPr/>
        <w:fldChar w:fldCharType="end"/>
      </w:r>
      <w:bookmarkEnd w:id="67"/>
      <w:r>
        <w:rPr>
          <w:rFonts w:cs="Times New Roman" w:ascii="Times New Roman" w:hAnsi="Times New Roman"/>
          <w:sz w:val="24"/>
          <w:szCs w:val="24"/>
        </w:rPr>
        <w:t xml:space="preserve">. These mechanical properties indicate that the gels can retain the microspheres </w:t>
      </w:r>
      <w:r>
        <w:rPr>
          <w:rFonts w:cs="Times New Roman" w:ascii="Times New Roman" w:hAnsi="Times New Roman"/>
          <w:i/>
          <w:sz w:val="24"/>
          <w:szCs w:val="24"/>
        </w:rPr>
        <w:t>in situ</w:t>
      </w:r>
      <w:r>
        <w:rPr>
          <w:rFonts w:cs="Times New Roman" w:ascii="Times New Roman" w:hAnsi="Times New Roman"/>
          <w:sz w:val="24"/>
          <w:szCs w:val="24"/>
        </w:rPr>
        <w:t>, fill a defect and provide initial support during the formation of bone. The mechanical properties of these thixotropic alginate hydrogels (1-2 kPa) are similar to non-</w:t>
      </w:r>
      <w:r>
        <w:rPr>
          <w:rFonts w:cs="Times New Roman" w:ascii="Times New Roman" w:hAnsi="Times New Roman"/>
          <w:i/>
          <w:sz w:val="24"/>
          <w:szCs w:val="24"/>
        </w:rPr>
        <w:t>in situ</w:t>
      </w:r>
      <w:r>
        <w:rPr>
          <w:rFonts w:cs="Times New Roman" w:ascii="Times New Roman" w:hAnsi="Times New Roman"/>
          <w:sz w:val="24"/>
          <w:szCs w:val="24"/>
        </w:rPr>
        <w:t xml:space="preserve"> gelling alginates </w:t>
      </w:r>
      <w:r>
        <w:fldChar w:fldCharType="begin"/>
      </w:r>
      <w:r>
        <w:rPr/>
        <w:instrText>ADDIN EN.CITE &lt;EndNote&gt;&lt;Cite&gt;&lt;Author&gt;West&lt;/Author&gt;&lt;Year&gt;2007&lt;/Year&gt;&lt;RecNum&gt;30&lt;/RecNum&gt;&lt;DisplayText&gt;&lt;style face="superscript"&gt;[31]&lt;/style&gt;&lt;/DisplayText&gt;&lt;record&gt;&lt;rec-number&gt;30&lt;/rec-number&gt;&lt;foreign-keys&gt;&lt;key app="EN" db-id="wdds2t9tiwvf9mee0ac52ewfxse5dwxfx9ad" timestamp="1513894150"&gt;30&lt;/key&gt;&lt;/foreign-keys&gt;&lt;ref-type name="Journal Article"&gt;17&lt;/ref-type&gt;&lt;contributors&gt;&lt;authors&gt;&lt;author&gt;West, Erin R&lt;/author&gt;&lt;author&gt;Xu, Min&lt;/author&gt;&lt;author&gt;Woodruff, Teresa K&lt;/author&gt;&lt;author&gt;Shea, Lonnie D&lt;/author&gt;&lt;/authors&gt;&lt;/contributors&gt;&lt;titles&gt;&lt;title&gt;Physical properties of alginate hydrogels and their effects on in vitro follicle development&lt;/title&gt;&lt;secondary-title&gt;Biomaterials&lt;/secondary-title&gt;&lt;/titles&gt;&lt;periodical&gt;&lt;full-title&gt;Biomaterials&lt;/full-title&gt;&lt;abbr-1&gt;Biomaterials&lt;/abbr-1&gt;&lt;abbr-2&gt;Biomaterials&lt;/abbr-2&gt;&lt;/periodical&gt;&lt;pages&gt;4439-4448&lt;/pages&gt;&lt;volume&gt;28&lt;/volume&gt;&lt;number&gt;30&lt;/number&gt;&lt;dates&gt;&lt;year&gt;2007&lt;/year&gt;&lt;/dates&gt;&lt;isbn&gt;0142-9612&lt;/isbn&gt;&lt;urls&gt;&lt;/urls&gt;&lt;/record&gt;&lt;/Cite&gt;&lt;/EndNote&gt;</w:instrText>
      </w:r>
      <w:r>
        <w:rPr/>
        <w:fldChar w:fldCharType="separate"/>
      </w:r>
      <w:bookmarkStart w:id="68" w:name="__Fieldmark__2350_1302293411"/>
      <w:r>
        <w:rPr/>
      </w:r>
      <w:r>
        <w:rPr>
          <w:rFonts w:cs="Times New Roman" w:ascii="Times New Roman" w:hAnsi="Times New Roman"/>
          <w:sz w:val="24"/>
          <w:szCs w:val="24"/>
          <w:vertAlign w:val="superscript"/>
        </w:rPr>
        <w:t>[31]</w:t>
      </w:r>
      <w:r>
        <w:rPr/>
      </w:r>
      <w:r>
        <w:rPr/>
        <w:fldChar w:fldCharType="end"/>
      </w:r>
      <w:bookmarkEnd w:id="68"/>
      <w:r>
        <w:rPr>
          <w:rFonts w:cs="Times New Roman" w:ascii="Times New Roman" w:hAnsi="Times New Roman"/>
          <w:sz w:val="24"/>
          <w:szCs w:val="24"/>
        </w:rPr>
        <w:t xml:space="preserve">. According to Banerjee </w:t>
      </w:r>
      <w:r>
        <w:rPr>
          <w:rFonts w:cs="Times New Roman" w:ascii="Times New Roman" w:hAnsi="Times New Roman"/>
          <w:i/>
          <w:sz w:val="24"/>
          <w:szCs w:val="24"/>
        </w:rPr>
        <w:t>et al</w:t>
      </w:r>
      <w:r>
        <w:rPr>
          <w:rFonts w:cs="Times New Roman" w:ascii="Times New Roman" w:hAnsi="Times New Roman"/>
          <w:sz w:val="24"/>
          <w:szCs w:val="24"/>
        </w:rPr>
        <w:t xml:space="preserve">., gels with very high elastic moduli are undesirable and thixotropic gels with moderate elastic moduli (which were what we used in this study) should be suitable for bone regeneration </w:t>
      </w:r>
      <w:r>
        <w:fldChar w:fldCharType="begin"/>
      </w:r>
      <w:r>
        <w:rPr/>
        <w:instrText>ADDIN EN.CITE</w:instrText>
      </w:r>
      <w:r>
        <w:rPr/>
        <w:fldChar w:fldCharType="separate"/>
      </w:r>
      <w:bookmarkStart w:id="69" w:name="__Fieldmark__2367_1302293411"/>
      <w:r>
        <w:rPr/>
      </w:r>
      <w:r>
        <w:rPr/>
      </w:r>
      <w:r>
        <w:rPr/>
        <w:fldChar w:fldCharType="end"/>
      </w:r>
      <w:r>
        <w:fldChar w:fldCharType="begin"/>
      </w:r>
      <w:r>
        <w:rPr/>
        <w:instrText>ADDIN EN.CITE.DATA</w:instrText>
      </w:r>
      <w:r>
        <w:rPr/>
        <w:fldChar w:fldCharType="separate"/>
      </w:r>
      <w:bookmarkStart w:id="70" w:name="__Fieldmark__2366_1302293411"/>
      <w:bookmarkEnd w:id="69"/>
      <w:r>
        <w:rPr/>
      </w:r>
      <w:r>
        <w:rPr>
          <w:rFonts w:cs="Times New Roman" w:ascii="Times New Roman" w:hAnsi="Times New Roman"/>
          <w:sz w:val="24"/>
          <w:szCs w:val="24"/>
          <w:vertAlign w:val="superscript"/>
        </w:rPr>
        <w:t>[32]</w:t>
      </w:r>
      <w:r>
        <w:rPr/>
      </w:r>
      <w:r>
        <w:rPr/>
        <w:fldChar w:fldCharType="end"/>
      </w:r>
      <w:bookmarkEnd w:id="70"/>
      <w:r>
        <w:rPr>
          <w:rFonts w:cs="Times New Roman" w:ascii="Times New Roman" w:hAnsi="Times New Roman"/>
          <w:sz w:val="24"/>
          <w:szCs w:val="24"/>
        </w:rPr>
        <w:t xml:space="preserve">. With regard to HA, 50% cross-linked HA had an elastic modulus of 30 Pa </w:t>
      </w:r>
      <w:r>
        <w:fldChar w:fldCharType="begin"/>
      </w:r>
      <w:r>
        <w:rPr/>
        <w:instrText>ADDIN EN.CITE &lt;EndNote&gt;&lt;Cite&gt;&lt;Author&gt;Barbucci&lt;/Author&gt;&lt;Year&gt;2002&lt;/Year&gt;&lt;RecNum&gt;32&lt;/RecNum&gt;&lt;DisplayText&gt;&lt;style face="superscript"&gt;[33]&lt;/style&gt;&lt;/DisplayText&gt;&lt;record&gt;&lt;rec-number&gt;32&lt;/rec-number&gt;&lt;foreign-keys&gt;&lt;key app="EN" db-id="wdds2t9tiwvf9mee0ac52ewfxse5dwxfx9ad" timestamp="1513894150"&gt;32&lt;/key&gt;&lt;/foreign-keys&gt;&lt;ref-type name="Journal Article"&gt;17&lt;/ref-type&gt;&lt;contributors&gt;&lt;authors&gt;&lt;author&gt;Barbucci, R.&lt;/author&gt;&lt;author&gt;Lamponi, S.&lt;/author&gt;&lt;author&gt;Borzacchiello, A.&lt;/author&gt;&lt;author&gt;Ambrosio, L.&lt;/author&gt;&lt;author&gt;Fini, M.&lt;/author&gt;&lt;author&gt;Torricelli, P.&lt;/author&gt;&lt;author&gt;Giardino, R.&lt;/author&gt;&lt;/authors&gt;&lt;/contributors&gt;&lt;auth-address&gt;Department of Chemical and Biosystem Sciences and Technology, CRISMA, University of Siena, Italy. barbucci@unisi.it&lt;/auth-address&gt;&lt;titles&gt;&lt;title&gt;Hyaluronic acid hydrogel in the treatment of osteoarthritis&lt;/title&gt;&lt;secondary-title&gt;Biomaterials&lt;/secondary-title&gt;&lt;/titles&gt;&lt;periodical&gt;&lt;full-title&gt;Biomaterials&lt;/full-title&gt;&lt;abbr-1&gt;Biomaterials&lt;/abbr-1&gt;&lt;abbr-2&gt;Biomaterials&lt;/abbr-2&gt;&lt;/periodical&gt;&lt;pages&gt;4503-13&lt;/pages&gt;&lt;volume&gt;23&lt;/volume&gt;&lt;number&gt;23&lt;/number&gt;&lt;keywords&gt;&lt;keyword&gt;3T3 Cells&lt;/keyword&gt;&lt;keyword&gt;Adjuvants, Immunologic/*pharmacology&lt;/keyword&gt;&lt;keyword&gt;Animals&lt;/keyword&gt;&lt;keyword&gt;*Biocompatible Materials&lt;/keyword&gt;&lt;keyword&gt;Cartilage, Articular/cytology&lt;/keyword&gt;&lt;keyword&gt;Cross-Linking Reagents&lt;/keyword&gt;&lt;keyword&gt;Ethylene Oxide/metabolism&lt;/keyword&gt;&lt;keyword&gt;Hyaluronic Acid/*pharmacology&lt;/keyword&gt;&lt;keyword&gt;Hydrogel/chemistry/*pharmacology&lt;/keyword&gt;&lt;keyword&gt;Mice&lt;/keyword&gt;&lt;keyword&gt;Microscopy, Electron, Scanning&lt;/keyword&gt;&lt;keyword&gt;Osteoarthritis/*drug therapy&lt;/keyword&gt;&lt;keyword&gt;Polysaccharides/chemistry&lt;/keyword&gt;&lt;keyword&gt;Rabbits&lt;/keyword&gt;&lt;keyword&gt;Time Factors&lt;/keyword&gt;&lt;/keywords&gt;&lt;dates&gt;&lt;year&gt;2002&lt;/year&gt;&lt;pub-dates&gt;&lt;date&gt;Dec&lt;/date&gt;&lt;/pub-dates&gt;&lt;/dates&gt;&lt;isbn&gt;0142-9612 (Print)&amp;#xD;0142-9612 (Linking)&lt;/isbn&gt;&lt;accession-num&gt;12322970&lt;/accession-num&gt;&lt;urls&gt;&lt;related-urls&gt;&lt;url&gt;https://www.ncbi.nlm.nih.gov/pubmed/12322970&lt;/url&gt;&lt;/related-urls&gt;&lt;/urls&gt;&lt;/record&gt;&lt;/Cite&gt;&lt;/EndNote&gt;</w:instrText>
      </w:r>
      <w:r>
        <w:rPr/>
        <w:fldChar w:fldCharType="separate"/>
      </w:r>
      <w:bookmarkStart w:id="71" w:name="__Fieldmark__2383_1302293411"/>
      <w:r>
        <w:rPr/>
      </w:r>
      <w:r>
        <w:rPr>
          <w:rFonts w:cs="Times New Roman" w:ascii="Times New Roman" w:hAnsi="Times New Roman"/>
          <w:sz w:val="24"/>
          <w:szCs w:val="24"/>
          <w:vertAlign w:val="superscript"/>
        </w:rPr>
        <w:t>[33]</w:t>
      </w:r>
      <w:r>
        <w:rPr/>
      </w:r>
      <w:r>
        <w:rPr/>
        <w:fldChar w:fldCharType="end"/>
      </w:r>
      <w:bookmarkEnd w:id="71"/>
      <w:r>
        <w:rPr>
          <w:rFonts w:cs="Times New Roman" w:ascii="Times New Roman" w:hAnsi="Times New Roman"/>
          <w:sz w:val="24"/>
          <w:szCs w:val="24"/>
        </w:rPr>
        <w:t xml:space="preserve">, which is far lower than the PNIPAM functionalized hydrogel presented in this study (5 kPa). After bone fracture, following the initial inflammation a callus forms. The mechanical properties of fracture callus have been measured and found to </w:t>
      </w:r>
      <w:r>
        <w:rPr>
          <w:rFonts w:cs="Times New Roman" w:ascii="Times New Roman" w:hAnsi="Times New Roman"/>
          <w:sz w:val="24"/>
          <w:szCs w:val="24"/>
          <w:shd w:fill="FFFFFF" w:val="clear"/>
        </w:rPr>
        <w:t xml:space="preserve">depend on multiple tissue types: the range of the indentation moduli was </w:t>
      </w:r>
      <w:r>
        <w:rPr>
          <w:rFonts w:cs="Times New Roman" w:ascii="Times New Roman" w:hAnsi="Times New Roman"/>
          <w:color w:val="000000"/>
          <w:sz w:val="24"/>
          <w:szCs w:val="24"/>
          <w:shd w:fill="FFFFFF" w:val="clear"/>
        </w:rPr>
        <w:t xml:space="preserve">0.61–1.27 MPa (median = 0.99 MPa) for granulation tissue, 1.39–4.42 MPa (median = 2.89 MPa) for chondroid tissue and 26.92–1010.00 MPa (median = 132.00 MPa) for woven bone </w:t>
      </w:r>
      <w:r>
        <w:fldChar w:fldCharType="begin"/>
      </w:r>
      <w:r>
        <w:rPr/>
        <w:instrText>ADDIN EN.CITE &lt;EndNote&gt;&lt;Cite&gt;&lt;Author&gt;Leong&lt;/Author&gt;&lt;Year&gt;2008&lt;/Year&gt;&lt;RecNum&gt;33&lt;/RecNum&gt;&lt;DisplayText&gt;&lt;style face="superscript"&gt;[34]&lt;/style&gt;&lt;/DisplayText&gt;&lt;record&gt;&lt;rec-number&gt;33&lt;/rec-number&gt;&lt;foreign-keys&gt;&lt;key app="EN" db-id="wdds2t9tiwvf9mee0ac52ewfxse5dwxfx9ad" timestamp="1513894150"&gt;33&lt;/key&gt;&lt;/foreign-keys&gt;&lt;ref-type name="Journal Article"&gt;17&lt;/ref-type&gt;&lt;contributors&gt;&lt;authors&gt;&lt;author&gt;Leong, P. L.&lt;/author&gt;&lt;author&gt;Morgan, E. F.&lt;/author&gt;&lt;/authors&gt;&lt;/contributors&gt;&lt;auth-address&gt;Department of Aerospace and Mechanical Engineering, Boston University, 110 Cummington Street, Boston, MA 02215, USA. puileong@bu.edu&lt;/auth-address&gt;&lt;titles&gt;&lt;title&gt;Measurement of fracture callus material properties via nanoindentation&lt;/title&gt;&lt;secondary-title&gt;Acta Biomater&lt;/secondary-title&gt;&lt;/titles&gt;&lt;periodical&gt;&lt;full-title&gt;Acta Biomater&lt;/full-title&gt;&lt;/periodical&gt;&lt;pages&gt;1569-75&lt;/pages&gt;&lt;volume&gt;4&lt;/volume&gt;&lt;number&gt;5&lt;/number&gt;&lt;keywords&gt;&lt;keyword&gt;Animals&lt;/keyword&gt;&lt;keyword&gt;Bony Callus/pathology/*physiopathology&lt;/keyword&gt;&lt;keyword&gt;Elasticity&lt;/keyword&gt;&lt;keyword&gt;Femoral Fractures/pathology/*physiopathology&lt;/keyword&gt;&lt;keyword&gt;Fracture Healing/*physiology&lt;/keyword&gt;&lt;keyword&gt;Hardness Tests/*methods&lt;/keyword&gt;&lt;keyword&gt;Male&lt;/keyword&gt;&lt;keyword&gt;Nanotechnology/*methods&lt;/keyword&gt;&lt;keyword&gt;Rats&lt;/keyword&gt;&lt;keyword&gt;Rats, Sprague-Dawley&lt;/keyword&gt;&lt;keyword&gt;Stress, Mechanical&lt;/keyword&gt;&lt;/keywords&gt;&lt;dates&gt;&lt;year&gt;2008&lt;/year&gt;&lt;pub-dates&gt;&lt;date&gt;Sep&lt;/date&gt;&lt;/pub-dates&gt;&lt;/dates&gt;&lt;isbn&gt;1742-7061 (Print)&amp;#xD;1742-7061 (Linking)&lt;/isbn&gt;&lt;accession-num&gt;18400573&lt;/accession-num&gt;&lt;urls&gt;&lt;related-urls&gt;&lt;url&gt;https://www.ncbi.nlm.nih.gov/pubmed/18400573&lt;/url&gt;&lt;/related-urls&gt;&lt;/urls&gt;&lt;custom2&gt;PMC2575108&lt;/custom2&gt;&lt;electronic-resource-num&gt;10.1016/j.actbio.2008.02.030&lt;/electronic-resource-num&gt;&lt;/record&gt;&lt;/Cite&gt;&lt;/EndNote&gt;</w:instrText>
      </w:r>
      <w:r>
        <w:rPr/>
        <w:fldChar w:fldCharType="separate"/>
      </w:r>
      <w:bookmarkStart w:id="72" w:name="__Fieldmark__2419_1302293411"/>
      <w:r>
        <w:rPr/>
      </w:r>
      <w:r>
        <w:rPr>
          <w:rFonts w:cs="Times New Roman" w:ascii="Times New Roman" w:hAnsi="Times New Roman"/>
          <w:color w:val="000000"/>
          <w:sz w:val="24"/>
          <w:szCs w:val="24"/>
          <w:shd w:fill="FFFFFF" w:val="clear"/>
          <w:vertAlign w:val="superscript"/>
        </w:rPr>
        <w:t>[34]</w:t>
      </w:r>
      <w:r>
        <w:rPr/>
      </w:r>
      <w:r>
        <w:rPr/>
        <w:fldChar w:fldCharType="end"/>
      </w:r>
      <w:bookmarkEnd w:id="72"/>
      <w:r>
        <w:rPr>
          <w:rFonts w:cs="Times New Roman" w:ascii="Times New Roman" w:hAnsi="Times New Roman"/>
          <w:color w:val="000000"/>
          <w:sz w:val="24"/>
          <w:szCs w:val="24"/>
          <w:shd w:fill="FFFFFF" w:val="clear"/>
        </w:rPr>
        <w:t>. We</w:t>
      </w:r>
      <w:r>
        <w:rPr>
          <w:rFonts w:cs="Times New Roman" w:ascii="Times New Roman" w:hAnsi="Times New Roman"/>
          <w:sz w:val="24"/>
          <w:szCs w:val="24"/>
        </w:rPr>
        <w:t xml:space="preserve"> therefore concluded that an elastic modulus</w:t>
      </w:r>
      <w:r>
        <w:rPr>
          <w:rFonts w:cs="Times New Roman" w:ascii="Times New Roman" w:hAnsi="Times New Roman"/>
          <w:color w:val="000000"/>
          <w:sz w:val="24"/>
          <w:szCs w:val="24"/>
          <w:shd w:fill="FFFFFF" w:val="clear"/>
        </w:rPr>
        <w:t xml:space="preserve"> in the range of 1-10 MPa is suitable for supporting the regenerative tiss</w:t>
      </w:r>
      <w:r>
        <w:rPr>
          <w:rFonts w:cs="Times New Roman" w:ascii="Times New Roman" w:hAnsi="Times New Roman"/>
          <w:color w:val="000000"/>
          <w:sz w:val="24"/>
          <w:szCs w:val="24"/>
        </w:rPr>
        <w:t xml:space="preserve">ue. </w:t>
      </w:r>
      <w:r>
        <w:rPr>
          <w:rFonts w:cs="Times New Roman" w:ascii="Times New Roman" w:hAnsi="Times New Roman"/>
          <w:color w:val="000000"/>
          <w:sz w:val="24"/>
          <w:szCs w:val="24"/>
          <w:shd w:fill="FFFFFF" w:val="clear"/>
        </w:rPr>
        <w:t xml:space="preserve">Given the mechanical properties of these hydrogels, it could be feasible to apply them directly to repair non-load bearing bone defects. </w:t>
      </w:r>
      <w:r>
        <w:rPr>
          <w:rFonts w:cs="Times New Roman" w:ascii="Times New Roman" w:hAnsi="Times New Roman"/>
          <w:sz w:val="24"/>
          <w:szCs w:val="24"/>
        </w:rPr>
        <w:t>For fractures or defects in the load bearing-bones, the application would still require some other kind of mechanical stabilization, be that a traditional cast, internal fixation or combination with other stronger biomaterials.</w:t>
      </w:r>
    </w:p>
    <w:p>
      <w:pPr>
        <w:pStyle w:val="Normal"/>
        <w:spacing w:lineRule="auto" w:line="480"/>
        <w:jc w:val="both"/>
        <w:rPr/>
      </w:pPr>
      <w:r>
        <w:rPr>
          <w:rFonts w:cs="Times New Roman" w:ascii="Times New Roman" w:hAnsi="Times New Roman"/>
          <w:sz w:val="24"/>
          <w:szCs w:val="24"/>
        </w:rPr>
        <w:t xml:space="preserve">HA is a commonly used material for cartilage regeneration. Eglin </w:t>
      </w:r>
      <w:r>
        <w:rPr>
          <w:rFonts w:cs="Times New Roman" w:ascii="Times New Roman" w:hAnsi="Times New Roman"/>
          <w:i/>
          <w:sz w:val="24"/>
          <w:szCs w:val="24"/>
        </w:rPr>
        <w:t>et al.</w:t>
      </w:r>
      <w:r>
        <w:rPr>
          <w:rFonts w:cs="Times New Roman" w:ascii="Times New Roman" w:hAnsi="Times New Roman"/>
          <w:sz w:val="24"/>
          <w:szCs w:val="24"/>
        </w:rPr>
        <w:t xml:space="preserve"> found that thermo-responsive HApN can be used to support hMSCs for the treatment of degenerated intervertebral disc and therefore HA hydrogels were developed as a bone-cartilage interface </w:t>
      </w:r>
      <w:r>
        <w:fldChar w:fldCharType="begin"/>
      </w:r>
      <w:r>
        <w:rPr/>
        <w:instrText>ADDIN EN.CITE</w:instrText>
      </w:r>
      <w:r>
        <w:rPr/>
        <w:fldChar w:fldCharType="separate"/>
      </w:r>
      <w:bookmarkStart w:id="73" w:name="__Fieldmark__2470_1302293411"/>
      <w:r>
        <w:rPr/>
      </w:r>
      <w:r>
        <w:rPr/>
      </w:r>
      <w:r>
        <w:rPr/>
        <w:fldChar w:fldCharType="end"/>
      </w:r>
      <w:r>
        <w:fldChar w:fldCharType="begin"/>
      </w:r>
      <w:r>
        <w:rPr/>
        <w:instrText>ADDIN EN.CITE.DATA</w:instrText>
      </w:r>
      <w:r>
        <w:rPr/>
        <w:fldChar w:fldCharType="separate"/>
      </w:r>
      <w:bookmarkStart w:id="74" w:name="__Fieldmark__2469_1302293411"/>
      <w:bookmarkEnd w:id="73"/>
      <w:r>
        <w:rPr/>
      </w:r>
      <w:r>
        <w:rPr>
          <w:rFonts w:cs="Times New Roman" w:ascii="Times New Roman" w:hAnsi="Times New Roman"/>
          <w:sz w:val="24"/>
          <w:szCs w:val="24"/>
          <w:vertAlign w:val="superscript"/>
        </w:rPr>
        <w:t>[35]</w:t>
      </w:r>
      <w:r>
        <w:rPr/>
      </w:r>
      <w:r>
        <w:rPr/>
        <w:fldChar w:fldCharType="end"/>
      </w:r>
      <w:bookmarkEnd w:id="74"/>
      <w:r>
        <w:rPr>
          <w:rFonts w:cs="Times New Roman" w:ascii="Times New Roman" w:hAnsi="Times New Roman"/>
          <w:sz w:val="24"/>
          <w:szCs w:val="24"/>
        </w:rPr>
        <w:t xml:space="preserve">. Injectable HA has been shown to be successful in a rabbit osteochondral defect model </w:t>
      </w:r>
      <w:r>
        <w:fldChar w:fldCharType="begin"/>
      </w:r>
      <w:r>
        <w:rPr/>
        <w:instrText>ADDIN EN.CITE</w:instrText>
      </w:r>
      <w:r>
        <w:rPr/>
        <w:fldChar w:fldCharType="separate"/>
      </w:r>
      <w:bookmarkStart w:id="75" w:name="__Fieldmark__2486_1302293411"/>
      <w:r>
        <w:rPr/>
      </w:r>
      <w:r>
        <w:rPr/>
      </w:r>
      <w:r>
        <w:rPr/>
        <w:fldChar w:fldCharType="end"/>
      </w:r>
      <w:r>
        <w:fldChar w:fldCharType="begin"/>
      </w:r>
      <w:r>
        <w:rPr/>
        <w:instrText>ADDIN EN.CITE.DATA</w:instrText>
      </w:r>
      <w:r>
        <w:rPr/>
        <w:fldChar w:fldCharType="separate"/>
      </w:r>
      <w:bookmarkStart w:id="76" w:name="__Fieldmark__2485_1302293411"/>
      <w:bookmarkEnd w:id="75"/>
      <w:r>
        <w:rPr/>
      </w:r>
      <w:r>
        <w:rPr>
          <w:rFonts w:cs="Times New Roman" w:ascii="Times New Roman" w:hAnsi="Times New Roman"/>
          <w:sz w:val="24"/>
          <w:szCs w:val="24"/>
          <w:vertAlign w:val="superscript"/>
        </w:rPr>
        <w:t>[36]</w:t>
      </w:r>
      <w:r>
        <w:rPr/>
      </w:r>
      <w:r>
        <w:rPr/>
        <w:fldChar w:fldCharType="end"/>
      </w:r>
      <w:bookmarkEnd w:id="76"/>
      <w:r>
        <w:rPr>
          <w:rFonts w:cs="Times New Roman" w:ascii="Times New Roman" w:hAnsi="Times New Roman"/>
          <w:sz w:val="24"/>
          <w:szCs w:val="24"/>
        </w:rPr>
        <w:t xml:space="preserve">. Interestingly, one study suggested that HA might impede bone formation by inhibiting osteoblast differentiation </w:t>
      </w:r>
      <w:r>
        <w:fldChar w:fldCharType="begin"/>
      </w:r>
      <w:r>
        <w:rPr/>
        <w:instrText>ADDIN EN.CITE</w:instrText>
      </w:r>
      <w:r>
        <w:rPr/>
        <w:fldChar w:fldCharType="separate"/>
      </w:r>
      <w:bookmarkStart w:id="77" w:name="__Fieldmark__2498_1302293411"/>
      <w:r>
        <w:rPr/>
      </w:r>
      <w:r>
        <w:rPr/>
      </w:r>
      <w:r>
        <w:rPr/>
        <w:fldChar w:fldCharType="end"/>
      </w:r>
      <w:r>
        <w:fldChar w:fldCharType="begin"/>
      </w:r>
      <w:r>
        <w:rPr/>
        <w:instrText>ADDIN EN.CITE.DATA</w:instrText>
      </w:r>
      <w:r>
        <w:rPr/>
        <w:fldChar w:fldCharType="separate"/>
      </w:r>
      <w:bookmarkStart w:id="78" w:name="__Fieldmark__2497_1302293411"/>
      <w:bookmarkEnd w:id="77"/>
      <w:r>
        <w:rPr/>
      </w:r>
      <w:r>
        <w:rPr>
          <w:rFonts w:cs="Times New Roman" w:ascii="Times New Roman" w:hAnsi="Times New Roman"/>
          <w:sz w:val="24"/>
          <w:szCs w:val="24"/>
          <w:vertAlign w:val="superscript"/>
        </w:rPr>
        <w:t>[37]</w:t>
      </w:r>
      <w:r>
        <w:rPr/>
      </w:r>
      <w:r>
        <w:rPr/>
        <w:fldChar w:fldCharType="end"/>
      </w:r>
      <w:bookmarkEnd w:id="78"/>
      <w:r>
        <w:rPr>
          <w:rFonts w:cs="Times New Roman" w:ascii="Times New Roman" w:hAnsi="Times New Roman"/>
          <w:sz w:val="24"/>
          <w:szCs w:val="24"/>
        </w:rPr>
        <w:t xml:space="preserve">. Maus </w:t>
      </w:r>
      <w:r>
        <w:rPr>
          <w:rFonts w:cs="Times New Roman" w:ascii="Times New Roman" w:hAnsi="Times New Roman"/>
          <w:i/>
          <w:sz w:val="24"/>
          <w:szCs w:val="24"/>
        </w:rPr>
        <w:t>et al.</w:t>
      </w:r>
      <w:r>
        <w:rPr>
          <w:rFonts w:cs="Times New Roman" w:ascii="Times New Roman" w:hAnsi="Times New Roman"/>
          <w:sz w:val="24"/>
          <w:szCs w:val="24"/>
        </w:rPr>
        <w:t xml:space="preserve"> used combinations of commercially available injectable HA with and without 200 µg BMP-2 in a sheep femoral defect. However, none of the conditions resulted in significant bone formation </w:t>
      </w:r>
      <w:r>
        <w:fldChar w:fldCharType="begin"/>
      </w:r>
      <w:r>
        <w:rPr/>
        <w:instrText>ADDIN EN.CITE</w:instrText>
      </w:r>
      <w:r>
        <w:rPr/>
        <w:fldChar w:fldCharType="separate"/>
      </w:r>
      <w:bookmarkStart w:id="79" w:name="__Fieldmark__2523_1302293411"/>
      <w:r>
        <w:rPr/>
      </w:r>
      <w:r>
        <w:rPr/>
      </w:r>
      <w:r>
        <w:rPr/>
        <w:fldChar w:fldCharType="end"/>
      </w:r>
      <w:r>
        <w:fldChar w:fldCharType="begin"/>
      </w:r>
      <w:r>
        <w:rPr/>
        <w:instrText>ADDIN EN.CITE.DATA</w:instrText>
      </w:r>
      <w:r>
        <w:rPr/>
        <w:fldChar w:fldCharType="separate"/>
      </w:r>
      <w:bookmarkStart w:id="80" w:name="__Fieldmark__2522_1302293411"/>
      <w:bookmarkEnd w:id="79"/>
      <w:r>
        <w:rPr/>
      </w:r>
      <w:r>
        <w:rPr>
          <w:rFonts w:cs="Times New Roman" w:ascii="Times New Roman" w:hAnsi="Times New Roman"/>
          <w:sz w:val="24"/>
          <w:szCs w:val="24"/>
          <w:vertAlign w:val="superscript"/>
        </w:rPr>
        <w:t>[17b]</w:t>
      </w:r>
      <w:r>
        <w:rPr/>
      </w:r>
      <w:r>
        <w:rPr/>
        <w:fldChar w:fldCharType="end"/>
      </w:r>
      <w:bookmarkEnd w:id="80"/>
      <w:r>
        <w:rPr>
          <w:rFonts w:cs="Times New Roman" w:ascii="Times New Roman" w:hAnsi="Times New Roman"/>
          <w:sz w:val="24"/>
          <w:szCs w:val="24"/>
        </w:rPr>
        <w:t xml:space="preserve">. Bakhta </w:t>
      </w:r>
      <w:r>
        <w:rPr>
          <w:rFonts w:cs="Times New Roman" w:ascii="Times New Roman" w:hAnsi="Times New Roman"/>
          <w:i/>
          <w:sz w:val="24"/>
          <w:szCs w:val="24"/>
        </w:rPr>
        <w:t>et al.</w:t>
      </w:r>
      <w:r>
        <w:rPr>
          <w:rFonts w:cs="Times New Roman" w:ascii="Times New Roman" w:hAnsi="Times New Roman"/>
          <w:sz w:val="24"/>
          <w:szCs w:val="24"/>
        </w:rPr>
        <w:t xml:space="preserve"> used hyaluronan-based hydrogels loaded with 5 µg BMP-2 ectopically and observed significant bone formation within the formulations and a mineral volume of </w:t>
      </w:r>
      <w:bookmarkStart w:id="81" w:name="OLE_LINK2"/>
      <w:r>
        <w:rPr>
          <w:rFonts w:cs="Times New Roman" w:ascii="Times New Roman" w:hAnsi="Times New Roman"/>
          <w:sz w:val="24"/>
          <w:szCs w:val="24"/>
        </w:rPr>
        <w:t>4.4 ± 0.5 mm</w:t>
      </w:r>
      <w:r>
        <w:rPr>
          <w:rFonts w:cs="Times New Roman" w:ascii="Times New Roman" w:hAnsi="Times New Roman"/>
          <w:sz w:val="24"/>
          <w:szCs w:val="24"/>
          <w:vertAlign w:val="superscript"/>
        </w:rPr>
        <w:t>3</w:t>
      </w:r>
      <w:bookmarkEnd w:id="81"/>
      <w:r>
        <w:rPr>
          <w:rFonts w:cs="Times New Roman" w:ascii="Times New Roman" w:hAnsi="Times New Roman"/>
          <w:sz w:val="24"/>
          <w:szCs w:val="24"/>
        </w:rPr>
        <w:t xml:space="preserve"> after 8 weeks </w:t>
      </w:r>
      <w:r>
        <w:fldChar w:fldCharType="begin"/>
      </w:r>
      <w:r>
        <w:rPr/>
        <w:instrText>ADDIN EN.CITE</w:instrText>
      </w:r>
      <w:r>
        <w:rPr/>
        <w:fldChar w:fldCharType="separate"/>
      </w:r>
      <w:bookmarkStart w:id="82" w:name="__Fieldmark__2545_1302293411"/>
      <w:r>
        <w:rPr/>
      </w:r>
      <w:r>
        <w:rPr/>
      </w:r>
      <w:r>
        <w:rPr/>
        <w:fldChar w:fldCharType="end"/>
      </w:r>
      <w:r>
        <w:fldChar w:fldCharType="begin"/>
      </w:r>
      <w:r>
        <w:rPr/>
        <w:instrText>ADDIN EN.CITE.DATA</w:instrText>
      </w:r>
      <w:r>
        <w:rPr/>
        <w:fldChar w:fldCharType="separate"/>
      </w:r>
      <w:bookmarkStart w:id="83" w:name="__Fieldmark__2544_1302293411"/>
      <w:bookmarkEnd w:id="82"/>
      <w:r>
        <w:rPr/>
      </w:r>
      <w:r>
        <w:rPr>
          <w:rFonts w:cs="Times New Roman" w:ascii="Times New Roman" w:hAnsi="Times New Roman"/>
          <w:sz w:val="24"/>
          <w:szCs w:val="24"/>
          <w:vertAlign w:val="superscript"/>
        </w:rPr>
        <w:t>[38]</w:t>
      </w:r>
      <w:r>
        <w:rPr/>
      </w:r>
      <w:r>
        <w:rPr/>
        <w:fldChar w:fldCharType="end"/>
      </w:r>
      <w:bookmarkEnd w:id="83"/>
      <w:r>
        <w:rPr>
          <w:rFonts w:cs="Times New Roman" w:ascii="Times New Roman" w:hAnsi="Times New Roman"/>
          <w:sz w:val="24"/>
          <w:szCs w:val="24"/>
        </w:rPr>
        <w:t xml:space="preserve">. However, prior to our study, </w:t>
      </w:r>
      <w:r>
        <w:rPr>
          <w:rFonts w:cs="Times New Roman" w:ascii="Times New Roman" w:hAnsi="Times New Roman"/>
          <w:i/>
          <w:sz w:val="24"/>
          <w:szCs w:val="24"/>
        </w:rPr>
        <w:t>in situ</w:t>
      </w:r>
      <w:r>
        <w:rPr>
          <w:rFonts w:cs="Times New Roman" w:ascii="Times New Roman" w:hAnsi="Times New Roman"/>
          <w:sz w:val="24"/>
          <w:szCs w:val="24"/>
        </w:rPr>
        <w:t xml:space="preserve"> gelling HA had never been used in combination with particles to enhance cell adhesion and to promote bone tissue formation. We used microspheres rich in RGD motifs as BMP-2 carrier and failed to show bone formation after 10 weeks. Unlike Bakhta </w:t>
      </w:r>
      <w:r>
        <w:rPr>
          <w:rFonts w:cs="Times New Roman" w:ascii="Times New Roman" w:hAnsi="Times New Roman"/>
          <w:i/>
          <w:sz w:val="24"/>
          <w:szCs w:val="24"/>
        </w:rPr>
        <w:t>et al.</w:t>
      </w:r>
      <w:r>
        <w:rPr>
          <w:rFonts w:cs="Times New Roman" w:ascii="Times New Roman" w:hAnsi="Times New Roman"/>
          <w:sz w:val="24"/>
          <w:szCs w:val="24"/>
        </w:rPr>
        <w:t xml:space="preserve">, who implanted the formulations intramuscularly, which is more conducive to supporting </w:t>
      </w:r>
      <w:r>
        <w:rPr>
          <w:rFonts w:cs="Times New Roman" w:ascii="Times New Roman" w:hAnsi="Times New Roman"/>
          <w:i/>
          <w:sz w:val="24"/>
          <w:szCs w:val="24"/>
        </w:rPr>
        <w:t>de novo</w:t>
      </w:r>
      <w:r>
        <w:rPr>
          <w:rFonts w:cs="Times New Roman" w:ascii="Times New Roman" w:hAnsi="Times New Roman"/>
          <w:sz w:val="24"/>
          <w:szCs w:val="24"/>
        </w:rPr>
        <w:t xml:space="preserve"> bone formation, we injected our formulation subcutaneously and this might account for the discrepancy observed.</w:t>
      </w:r>
    </w:p>
    <w:p>
      <w:pPr>
        <w:pStyle w:val="Normal"/>
        <w:spacing w:lineRule="auto" w:line="480"/>
        <w:jc w:val="both"/>
        <w:rPr/>
      </w:pPr>
      <w:r>
        <w:rPr>
          <w:rFonts w:cs="Times New Roman" w:ascii="Times New Roman" w:hAnsi="Times New Roman"/>
          <w:sz w:val="24"/>
          <w:szCs w:val="24"/>
        </w:rPr>
        <w:t xml:space="preserve">How to modulate inflammation has become a hot topic in bone repair in the past decade </w:t>
      </w:r>
      <w:r>
        <w:fldChar w:fldCharType="begin"/>
      </w:r>
      <w:r>
        <w:rPr/>
        <w:instrText>ADDIN EN.CITE</w:instrText>
      </w:r>
      <w:r>
        <w:rPr/>
        <w:fldChar w:fldCharType="separate"/>
      </w:r>
      <w:bookmarkStart w:id="84" w:name="__Fieldmark__2598_1302293411"/>
      <w:r>
        <w:rPr/>
      </w:r>
      <w:r>
        <w:rPr/>
      </w:r>
      <w:r>
        <w:rPr/>
        <w:fldChar w:fldCharType="end"/>
      </w:r>
      <w:r>
        <w:fldChar w:fldCharType="begin"/>
      </w:r>
      <w:r>
        <w:rPr/>
        <w:instrText>ADDIN EN.CITE.DATA</w:instrText>
      </w:r>
      <w:r>
        <w:rPr/>
        <w:fldChar w:fldCharType="separate"/>
      </w:r>
      <w:bookmarkStart w:id="85" w:name="__Fieldmark__2597_1302293411"/>
      <w:bookmarkEnd w:id="84"/>
      <w:r>
        <w:rPr/>
      </w:r>
      <w:r>
        <w:rPr>
          <w:rFonts w:cs="Times New Roman" w:ascii="Times New Roman" w:hAnsi="Times New Roman"/>
          <w:sz w:val="24"/>
          <w:szCs w:val="24"/>
          <w:vertAlign w:val="superscript"/>
        </w:rPr>
        <w:t>[39]</w:t>
      </w:r>
      <w:r>
        <w:rPr/>
      </w:r>
      <w:r>
        <w:rPr/>
        <w:fldChar w:fldCharType="end"/>
      </w:r>
      <w:bookmarkEnd w:id="85"/>
      <w:r>
        <w:rPr>
          <w:rFonts w:cs="Times New Roman" w:ascii="Times New Roman" w:hAnsi="Times New Roman"/>
          <w:sz w:val="24"/>
          <w:szCs w:val="24"/>
        </w:rPr>
        <w:t xml:space="preserve">. Several groups have studied both the influence of different biomaterials upon macrophage polarization </w:t>
      </w:r>
      <w:r>
        <w:rPr>
          <w:rFonts w:cs="Times New Roman" w:ascii="Times New Roman" w:hAnsi="Times New Roman"/>
          <w:i/>
          <w:sz w:val="24"/>
          <w:szCs w:val="24"/>
        </w:rPr>
        <w:t>in vitro</w:t>
      </w:r>
      <w:r>
        <w:rPr>
          <w:rFonts w:cs="Times New Roman" w:ascii="Times New Roman" w:hAnsi="Times New Roman"/>
          <w:sz w:val="24"/>
          <w:szCs w:val="24"/>
        </w:rPr>
        <w:t xml:space="preserve"> </w:t>
      </w:r>
      <w:r>
        <w:fldChar w:fldCharType="begin"/>
      </w:r>
      <w:r>
        <w:rPr/>
        <w:instrText>ADDIN EN.CITE</w:instrText>
      </w:r>
      <w:r>
        <w:rPr/>
        <w:fldChar w:fldCharType="separate"/>
      </w:r>
      <w:bookmarkStart w:id="86" w:name="__Fieldmark__2610_1302293411"/>
      <w:r>
        <w:rPr/>
      </w:r>
      <w:r>
        <w:rPr/>
      </w:r>
      <w:r>
        <w:rPr/>
        <w:fldChar w:fldCharType="end"/>
      </w:r>
      <w:r>
        <w:fldChar w:fldCharType="begin"/>
      </w:r>
      <w:r>
        <w:rPr/>
        <w:instrText>ADDIN EN.CITE.DATA</w:instrText>
      </w:r>
      <w:r>
        <w:rPr/>
        <w:fldChar w:fldCharType="separate"/>
      </w:r>
      <w:bookmarkStart w:id="87" w:name="__Fieldmark__2609_1302293411"/>
      <w:bookmarkEnd w:id="86"/>
      <w:r>
        <w:rPr/>
      </w:r>
      <w:r>
        <w:rPr>
          <w:rFonts w:cs="Times New Roman" w:ascii="Times New Roman" w:hAnsi="Times New Roman"/>
          <w:sz w:val="24"/>
          <w:szCs w:val="24"/>
          <w:vertAlign w:val="superscript"/>
        </w:rPr>
        <w:t>[40]</w:t>
      </w:r>
      <w:r>
        <w:rPr/>
      </w:r>
      <w:r>
        <w:rPr/>
        <w:fldChar w:fldCharType="end"/>
      </w:r>
      <w:bookmarkEnd w:id="87"/>
      <w:r>
        <w:rPr>
          <w:rFonts w:cs="Times New Roman" w:ascii="Times New Roman" w:hAnsi="Times New Roman"/>
          <w:sz w:val="24"/>
          <w:szCs w:val="24"/>
        </w:rPr>
        <w:t xml:space="preserve"> and the positive dose-dependent relationship between the dosage of BMP-2 and the inflammatory volume </w:t>
      </w:r>
      <w:r>
        <w:fldChar w:fldCharType="begin"/>
      </w:r>
      <w:r>
        <w:rPr/>
        <w:instrText>ADDIN EN.CITE</w:instrText>
      </w:r>
      <w:r>
        <w:rPr/>
        <w:fldChar w:fldCharType="separate"/>
      </w:r>
      <w:bookmarkStart w:id="88" w:name="__Fieldmark__2618_1302293411"/>
      <w:r>
        <w:rPr/>
      </w:r>
      <w:r>
        <w:rPr/>
      </w:r>
      <w:r>
        <w:rPr/>
        <w:fldChar w:fldCharType="end"/>
      </w:r>
      <w:r>
        <w:fldChar w:fldCharType="begin"/>
      </w:r>
      <w:r>
        <w:rPr/>
        <w:instrText>ADDIN EN.CITE.DATA</w:instrText>
      </w:r>
      <w:r>
        <w:rPr/>
        <w:fldChar w:fldCharType="separate"/>
      </w:r>
      <w:bookmarkStart w:id="89" w:name="__Fieldmark__2617_1302293411"/>
      <w:bookmarkEnd w:id="88"/>
      <w:r>
        <w:rPr/>
      </w:r>
      <w:r>
        <w:rPr>
          <w:rFonts w:cs="Times New Roman" w:ascii="Times New Roman" w:hAnsi="Times New Roman"/>
          <w:sz w:val="24"/>
          <w:szCs w:val="24"/>
          <w:vertAlign w:val="superscript"/>
        </w:rPr>
        <w:t>[41]</w:t>
      </w:r>
      <w:r>
        <w:rPr/>
      </w:r>
      <w:r>
        <w:rPr/>
        <w:fldChar w:fldCharType="end"/>
      </w:r>
      <w:bookmarkEnd w:id="89"/>
      <w:r>
        <w:rPr>
          <w:rFonts w:cs="Times New Roman" w:ascii="Times New Roman" w:hAnsi="Times New Roman"/>
          <w:sz w:val="24"/>
          <w:szCs w:val="24"/>
        </w:rPr>
        <w:t xml:space="preserve">. Most </w:t>
      </w:r>
      <w:r>
        <w:rPr>
          <w:rFonts w:cs="Times New Roman" w:ascii="Times New Roman" w:hAnsi="Times New Roman"/>
          <w:i/>
          <w:sz w:val="24"/>
          <w:szCs w:val="24"/>
        </w:rPr>
        <w:t>in vivo</w:t>
      </w:r>
      <w:r>
        <w:rPr>
          <w:rFonts w:cs="Times New Roman" w:ascii="Times New Roman" w:hAnsi="Times New Roman"/>
          <w:sz w:val="24"/>
          <w:szCs w:val="24"/>
        </w:rPr>
        <w:t xml:space="preserve"> bone formation studies have investigated the inflammatory response involved by using a single marker to identify monocyte-macrophage-osteoclast cells such as TRAP or have relied on generic histology (e.g. H&amp;E) to assess inflammation </w:t>
      </w:r>
      <w:r>
        <w:fldChar w:fldCharType="begin"/>
      </w:r>
      <w:r>
        <w:rPr/>
        <w:instrText>ADDIN EN.CITE</w:instrText>
      </w:r>
      <w:r>
        <w:rPr/>
        <w:fldChar w:fldCharType="separate"/>
      </w:r>
      <w:bookmarkStart w:id="90" w:name="__Fieldmark__2639_1302293411"/>
      <w:r>
        <w:rPr/>
      </w:r>
      <w:r>
        <w:rPr/>
      </w:r>
      <w:r>
        <w:rPr/>
        <w:fldChar w:fldCharType="end"/>
      </w:r>
      <w:r>
        <w:fldChar w:fldCharType="begin"/>
      </w:r>
      <w:r>
        <w:rPr/>
        <w:instrText>ADDIN EN.CITE.DATA</w:instrText>
      </w:r>
      <w:r>
        <w:rPr/>
        <w:fldChar w:fldCharType="separate"/>
      </w:r>
      <w:bookmarkStart w:id="91" w:name="__Fieldmark__2638_1302293411"/>
      <w:bookmarkEnd w:id="90"/>
      <w:r>
        <w:rPr/>
      </w:r>
      <w:r>
        <w:rPr>
          <w:rFonts w:cs="Times New Roman" w:ascii="Times New Roman" w:hAnsi="Times New Roman"/>
          <w:sz w:val="24"/>
          <w:szCs w:val="24"/>
          <w:vertAlign w:val="superscript"/>
        </w:rPr>
        <w:t>[41a, 41b, 42]</w:t>
      </w:r>
      <w:r>
        <w:rPr/>
      </w:r>
      <w:r>
        <w:rPr/>
        <w:fldChar w:fldCharType="end"/>
      </w:r>
      <w:bookmarkEnd w:id="91"/>
      <w:r>
        <w:rPr>
          <w:rFonts w:cs="Times New Roman" w:ascii="Times New Roman" w:hAnsi="Times New Roman"/>
          <w:sz w:val="24"/>
          <w:szCs w:val="24"/>
        </w:rPr>
        <w:t>. In our study, we used CD68, iNOS and CD206 as markers to identify macrophage presence and to indicate their phenotype within our tested formulations. The BMP-2 dose used in this study was low, to prevent potential side-effects associated with higher doses (such as inflammation), to allow us to better investigate the effects of the materials. We observed a late CD68+ cell infiltration in the HApN</w:t>
      </w:r>
      <w:r>
        <w:rPr>
          <w:rFonts w:cs="Times New Roman" w:ascii="Times New Roman" w:hAnsi="Times New Roman"/>
          <w:sz w:val="24"/>
        </w:rPr>
        <w:t>+RCP-MS</w:t>
      </w:r>
      <w:r>
        <w:rPr>
          <w:rFonts w:cs="Times New Roman" w:ascii="Times New Roman" w:hAnsi="Times New Roman"/>
          <w:sz w:val="24"/>
          <w:szCs w:val="24"/>
        </w:rPr>
        <w:t xml:space="preserve"> formulations, which increased over time. It has been reported that macrophages can specifically recognize HA through receptors such as CD44 or the hyaluronan receptor for endocytosis, HARE </w:t>
      </w:r>
      <w:r>
        <w:fldChar w:fldCharType="begin"/>
      </w:r>
      <w:r>
        <w:rPr/>
        <w:instrText>ADDIN EN.CITE</w:instrText>
      </w:r>
      <w:r>
        <w:rPr/>
        <w:fldChar w:fldCharType="separate"/>
      </w:r>
      <w:bookmarkStart w:id="92" w:name="__Fieldmark__2686_1302293411"/>
      <w:r>
        <w:rPr/>
      </w:r>
      <w:r>
        <w:rPr/>
      </w:r>
      <w:r>
        <w:rPr/>
        <w:fldChar w:fldCharType="end"/>
      </w:r>
      <w:r>
        <w:fldChar w:fldCharType="begin"/>
      </w:r>
      <w:r>
        <w:rPr/>
        <w:instrText>ADDIN EN.CITE.DATA</w:instrText>
      </w:r>
      <w:r>
        <w:rPr/>
        <w:fldChar w:fldCharType="separate"/>
      </w:r>
      <w:bookmarkStart w:id="93" w:name="__Fieldmark__2685_1302293411"/>
      <w:bookmarkEnd w:id="92"/>
      <w:r>
        <w:rPr/>
      </w:r>
      <w:r>
        <w:rPr>
          <w:rFonts w:cs="Times New Roman" w:ascii="Times New Roman" w:hAnsi="Times New Roman"/>
          <w:sz w:val="24"/>
          <w:szCs w:val="24"/>
          <w:vertAlign w:val="superscript"/>
        </w:rPr>
        <w:t>[43]</w:t>
      </w:r>
      <w:r>
        <w:rPr/>
      </w:r>
      <w:r>
        <w:rPr/>
        <w:fldChar w:fldCharType="end"/>
      </w:r>
      <w:bookmarkEnd w:id="93"/>
      <w:r>
        <w:rPr>
          <w:rFonts w:cs="Times New Roman" w:ascii="Times New Roman" w:hAnsi="Times New Roman"/>
          <w:sz w:val="24"/>
          <w:szCs w:val="24"/>
        </w:rPr>
        <w:t xml:space="preserve"> and that the HA–CD44 interaction is involved in multiple cellular functions such as inflammation </w:t>
      </w:r>
      <w:r>
        <w:fldChar w:fldCharType="begin"/>
      </w:r>
      <w:r>
        <w:rPr/>
        <w:instrText>ADDIN EN.CITE &lt;EndNote&gt;&lt;Cite&gt;&lt;Author&gt;Chen&lt;/Author&gt;&lt;Year&gt;1999&lt;/Year&gt;&lt;RecNum&gt;55&lt;/RecNum&gt;&lt;DisplayText&gt;&lt;style face="superscript"&gt;[44]&lt;/style&gt;&lt;/DisplayText&gt;&lt;record&gt;&lt;rec-number&gt;55&lt;/rec-number&gt;&lt;foreign-keys&gt;&lt;key app="EN" db-id="wdds2t9tiwvf9mee0ac52ewfxse5dwxfx9ad" timestamp="1513894154"&gt;55&lt;/key&gt;&lt;/foreign-keys&gt;&lt;ref-type name="Journal Article"&gt;17&lt;/ref-type&gt;&lt;contributors&gt;&lt;authors&gt;&lt;author&gt;Chen, W. Y.&lt;/author&gt;&lt;author&gt;Abatangelo, G.&lt;/author&gt;&lt;/authors&gt;&lt;/contributors&gt;&lt;auth-address&gt;ConvaTec Wound Healing Research Institute, Deeside, United Kingdom. john.chen@bms.com&lt;/auth-address&gt;&lt;titles&gt;&lt;title&gt;Functions of hyaluronan in wound repair&lt;/title&gt;&lt;secondary-title&gt;Wound Repair Regen&lt;/secondary-title&gt;&lt;/titles&gt;&lt;pages&gt;79-89&lt;/pages&gt;&lt;volume&gt;7&lt;/volume&gt;&lt;number&gt;2&lt;/number&gt;&lt;edition&gt;1999/05/07&lt;/edition&gt;&lt;keywords&gt;&lt;keyword&gt;Adjuvants, Immunologic/analysis/chemistry/*physiology&lt;/keyword&gt;&lt;keyword&gt;Elasticity&lt;/keyword&gt;&lt;keyword&gt;Extracellular Matrix/chemistry&lt;/keyword&gt;&lt;keyword&gt;Gene Expression/physiology&lt;/keyword&gt;&lt;keyword&gt;Granulation Tissue/physiology&lt;/keyword&gt;&lt;keyword&gt;Humans&lt;/keyword&gt;&lt;keyword&gt;Hyaluronic Acid/analysis/chemistry/*physiology&lt;/keyword&gt;&lt;keyword&gt;Inflammation/immunology&lt;/keyword&gt;&lt;keyword&gt;Rheology&lt;/keyword&gt;&lt;keyword&gt;Viscosity&lt;/keyword&gt;&lt;keyword&gt;Wound Healing/*physiology&lt;/keyword&gt;&lt;/keywords&gt;&lt;dates&gt;&lt;year&gt;1999&lt;/year&gt;&lt;pub-dates&gt;&lt;date&gt;Mar-Apr&lt;/date&gt;&lt;/pub-dates&gt;&lt;/dates&gt;&lt;isbn&gt;1067-1927 (Print)&amp;#xD;1067-1927 (Linking)&lt;/isbn&gt;&lt;accession-num&gt;10231509&lt;/accession-num&gt;&lt;urls&gt;&lt;related-urls&gt;&lt;url&gt;http://www.ncbi.nlm.nih.gov/pubmed/10231509&lt;/url&gt;&lt;url&gt;http://onlinelibrary.wiley.com/doi/10.1046/j.1524-475X.1999.00079.x/abstract&lt;/url&gt;&lt;/related-urls&gt;&lt;/urls&gt;&lt;language&gt;eng&lt;/language&gt;&lt;/record&gt;&lt;/Cite&gt;&lt;/EndNote&gt;</w:instrText>
      </w:r>
      <w:r>
        <w:rPr/>
        <w:fldChar w:fldCharType="separate"/>
      </w:r>
      <w:bookmarkStart w:id="94" w:name="__Fieldmark__2693_1302293411"/>
      <w:r>
        <w:rPr/>
      </w:r>
      <w:r>
        <w:rPr>
          <w:rFonts w:cs="Times New Roman" w:ascii="Times New Roman" w:hAnsi="Times New Roman"/>
          <w:sz w:val="24"/>
          <w:szCs w:val="24"/>
          <w:vertAlign w:val="superscript"/>
        </w:rPr>
        <w:t>[44]</w:t>
      </w:r>
      <w:r>
        <w:rPr/>
      </w:r>
      <w:r>
        <w:rPr/>
        <w:fldChar w:fldCharType="end"/>
      </w:r>
      <w:bookmarkEnd w:id="94"/>
      <w:r>
        <w:rPr>
          <w:rFonts w:cs="Times New Roman" w:ascii="Times New Roman" w:hAnsi="Times New Roman"/>
          <w:sz w:val="24"/>
          <w:szCs w:val="24"/>
        </w:rPr>
        <w:t xml:space="preserve">. This might explain the high levels of inflammatory cell infiltrate observed at the later time points in the HApN+MS group. In contrast, in alginate formulations, CD68+ staining was lower at 10 weeks than at 1 week, and bone formation was successfully achieved. It is known that alginates from wound dressings interact with wound macrophages </w:t>
      </w:r>
      <w:r>
        <w:fldChar w:fldCharType="begin"/>
      </w:r>
      <w:r>
        <w:rPr/>
        <w:instrText>ADDIN EN.CITE &lt;EndNote&gt;&lt;Cite&gt;&lt;Author&gt;Thomas&lt;/Author&gt;&lt;Year&gt;2000&lt;/Year&gt;&lt;RecNum&gt;56&lt;/RecNum&gt;&lt;DisplayText&gt;&lt;style face="superscript"&gt;[45]&lt;/style&gt;&lt;/DisplayText&gt;&lt;record&gt;&lt;rec-number&gt;56&lt;/rec-number&gt;&lt;foreign-keys&gt;&lt;key app="EN" db-id="wdds2t9tiwvf9mee0ac52ewfxse5dwxfx9ad" timestamp="1513894154"&gt;56&lt;/key&gt;&lt;/foreign-keys&gt;&lt;ref-type name="Journal Article"&gt;17&lt;/ref-type&gt;&lt;contributors&gt;&lt;authors&gt;&lt;author&gt;Thomas, A.&lt;/author&gt;&lt;author&gt;Harding, K. G.&lt;/author&gt;&lt;author&gt;Moore, K.&lt;/author&gt;&lt;/authors&gt;&lt;/contributors&gt;&lt;auth-address&gt;Wound Healing Research Unit, Department of Surgery, University of Wales College of Medicine, Cardiff, UK.&lt;/auth-address&gt;&lt;titles&gt;&lt;title&gt;Alginates from wound dressings activate human macrophages to secrete tumour necrosis factor-alpha&lt;/title&gt;&lt;secondary-title&gt;Biomaterials&lt;/secondary-title&gt;&lt;/titles&gt;&lt;periodical&gt;&lt;full-title&gt;Biomaterials&lt;/full-title&gt;&lt;abbr-1&gt;Biomaterials&lt;/abbr-1&gt;&lt;abbr-2&gt;Biomaterials&lt;/abbr-2&gt;&lt;/periodical&gt;&lt;pages&gt;1797-802&lt;/pages&gt;&lt;volume&gt;21&lt;/volume&gt;&lt;number&gt;17&lt;/number&gt;&lt;edition&gt;2000/07/25&lt;/edition&gt;&lt;keywords&gt;&lt;keyword&gt;Alginates/*pharmacology&lt;/keyword&gt;&lt;keyword&gt;Animals&lt;/keyword&gt;&lt;keyword&gt;*Bandages&lt;/keyword&gt;&lt;keyword&gt;Cell Line&lt;/keyword&gt;&lt;keyword&gt;Humans&lt;/keyword&gt;&lt;keyword&gt;Macrophages/*drug effects/secretion&lt;/keyword&gt;&lt;keyword&gt;Mice&lt;/keyword&gt;&lt;keyword&gt;Tumor Necrosis Factor-alpha/*secretion&lt;/keyword&gt;&lt;keyword&gt;Wound Healing&lt;/keyword&gt;&lt;/keywords&gt;&lt;dates&gt;&lt;year&gt;2000&lt;/year&gt;&lt;pub-dates&gt;&lt;date&gt;Sep&lt;/date&gt;&lt;/pub-dates&gt;&lt;/dates&gt;&lt;isbn&gt;0142-9612 (Print)&amp;#xD;0142-9612 (Linking)&lt;/isbn&gt;&lt;accession-num&gt;10905462&lt;/accession-num&gt;&lt;urls&gt;&lt;related-urls&gt;&lt;url&gt;http://www.ncbi.nlm.nih.gov/pubmed/10905462&lt;/url&gt;&lt;url&gt;http://ac.els-cdn.com/S0142961200000727/1-s2.0-S0142961200000727-main.pdf?_tid=78b31ad2-36f9-11e7-bfb1-00000aacb35d&amp;amp;acdnat=1494583255_5d26403ae5aaef139b98bdf601611f21&lt;/url&gt;&lt;/related-urls&gt;&lt;/urls&gt;&lt;electronic-resource-num&gt;S0142-9612(00)00072-7 [pii]&lt;/electronic-resource-num&gt;&lt;language&gt;eng&lt;/language&gt;&lt;/record&gt;&lt;/Cite&gt;&lt;/EndNote&gt;</w:instrText>
      </w:r>
      <w:r>
        <w:rPr/>
        <w:fldChar w:fldCharType="separate"/>
      </w:r>
      <w:bookmarkStart w:id="95" w:name="__Fieldmark__2709_1302293411"/>
      <w:r>
        <w:rPr/>
      </w:r>
      <w:r>
        <w:rPr>
          <w:rFonts w:cs="Times New Roman" w:ascii="Times New Roman" w:hAnsi="Times New Roman"/>
          <w:sz w:val="24"/>
          <w:szCs w:val="24"/>
          <w:vertAlign w:val="superscript"/>
        </w:rPr>
        <w:t>[45]</w:t>
      </w:r>
      <w:r>
        <w:rPr/>
      </w:r>
      <w:r>
        <w:rPr/>
        <w:fldChar w:fldCharType="end"/>
      </w:r>
      <w:bookmarkEnd w:id="95"/>
      <w:r>
        <w:rPr>
          <w:rFonts w:cs="Times New Roman" w:ascii="Times New Roman" w:hAnsi="Times New Roman"/>
          <w:sz w:val="24"/>
          <w:szCs w:val="24"/>
        </w:rPr>
        <w:t xml:space="preserve"> and alginate-collagen formulations have been shown to locally integrate with host tissue in an abdominal wall defect model </w:t>
      </w:r>
      <w:r>
        <w:fldChar w:fldCharType="begin"/>
      </w:r>
      <w:r>
        <w:rPr/>
        <w:instrText>ADDIN EN.CITE</w:instrText>
      </w:r>
      <w:r>
        <w:rPr/>
        <w:fldChar w:fldCharType="separate"/>
      </w:r>
      <w:bookmarkStart w:id="96" w:name="__Fieldmark__2720_1302293411"/>
      <w:r>
        <w:rPr/>
      </w:r>
      <w:r>
        <w:rPr/>
      </w:r>
      <w:r>
        <w:rPr/>
        <w:fldChar w:fldCharType="end"/>
      </w:r>
      <w:r>
        <w:fldChar w:fldCharType="begin"/>
      </w:r>
      <w:r>
        <w:rPr/>
        <w:instrText>ADDIN EN.CITE.DATA</w:instrText>
      </w:r>
      <w:r>
        <w:rPr/>
        <w:fldChar w:fldCharType="separate"/>
      </w:r>
      <w:bookmarkStart w:id="97" w:name="__Fieldmark__2719_1302293411"/>
      <w:bookmarkEnd w:id="96"/>
      <w:r>
        <w:rPr/>
      </w:r>
      <w:r>
        <w:rPr>
          <w:rFonts w:cs="Times New Roman" w:ascii="Times New Roman" w:hAnsi="Times New Roman"/>
          <w:sz w:val="24"/>
          <w:szCs w:val="24"/>
          <w:vertAlign w:val="superscript"/>
        </w:rPr>
        <w:t>[46]</w:t>
      </w:r>
      <w:r>
        <w:rPr/>
      </w:r>
      <w:r>
        <w:rPr/>
        <w:fldChar w:fldCharType="end"/>
      </w:r>
      <w:bookmarkEnd w:id="97"/>
      <w:r>
        <w:rPr>
          <w:rFonts w:cs="Times New Roman" w:ascii="Times New Roman" w:hAnsi="Times New Roman"/>
          <w:sz w:val="24"/>
          <w:szCs w:val="24"/>
        </w:rPr>
        <w:t xml:space="preserve">. Several studies have shown that the mannuronic acid residues of soluble alginate are cytokine-stimulating to monocytes </w:t>
      </w:r>
      <w:r>
        <w:fldChar w:fldCharType="begin"/>
      </w:r>
      <w:r>
        <w:rPr/>
        <w:instrText>ADDIN EN.CITE &lt;EndNote&gt;&lt;Cite&gt;&lt;Author&gt;Otterlei&lt;/Author&gt;&lt;Year&gt;1991&lt;/Year&gt;&lt;RecNum&gt;58&lt;/RecNum&gt;&lt;DisplayText&gt;&lt;style face="superscript"&gt;[47]&lt;/style&gt;&lt;/DisplayText&gt;&lt;record&gt;&lt;rec-number&gt;58&lt;/rec-number&gt;&lt;foreign-keys&gt;&lt;key app="EN" db-id="wdds2t9tiwvf9mee0ac52ewfxse5dwxfx9ad" timestamp="1513894154"&gt;58&lt;/key&gt;&lt;/foreign-keys&gt;&lt;ref-type name="Journal Article"&gt;17&lt;/ref-type&gt;&lt;contributors&gt;&lt;authors&gt;&lt;author&gt;Otterlei, M.&lt;/author&gt;&lt;author&gt;Ostgaard, K.&lt;/author&gt;&lt;author&gt;Skjak-Braek, G.&lt;/author&gt;&lt;author&gt;Smidsrod, O.&lt;/author&gt;&lt;author&gt;Soon-Shiong, P.&lt;/author&gt;&lt;author&gt;Espevik, T.&lt;/author&gt;&lt;/authors&gt;&lt;/contributors&gt;&lt;auth-address&gt;Institute of Cancer Research, University of Trondheim, Norway.&lt;/auth-address&gt;&lt;titles&gt;&lt;title&gt;Induction of cytokine production from human monocytes stimulated with alginate&lt;/title&gt;&lt;secondary-title&gt;J Immunother (1991)&lt;/secondary-title&gt;&lt;/titles&gt;&lt;pages&gt;286-91&lt;/pages&gt;&lt;volume&gt;10&lt;/volume&gt;&lt;number&gt;4&lt;/number&gt;&lt;edition&gt;1991/08/01&lt;/edition&gt;&lt;keywords&gt;&lt;keyword&gt;Alginates/analysis/*pharmacology&lt;/keyword&gt;&lt;keyword&gt;Cytokines/*biosynthesis&lt;/keyword&gt;&lt;keyword&gt;Gels&lt;/keyword&gt;&lt;keyword&gt;Hexuronic Acids/analysis&lt;/keyword&gt;&lt;keyword&gt;Humans&lt;/keyword&gt;&lt;keyword&gt;Interleukin-1/biosynthesis&lt;/keyword&gt;&lt;keyword&gt;Interleukin-6/biosynthesis&lt;/keyword&gt;&lt;keyword&gt;Lipopolysaccharides&lt;/keyword&gt;&lt;keyword&gt;Monocytes/drug effects/*metabolism&lt;/keyword&gt;&lt;keyword&gt;Polymyxin B/pharmacology&lt;/keyword&gt;&lt;keyword&gt;Tumor Necrosis Factor-alpha/biosynthesis&lt;/keyword&gt;&lt;/keywords&gt;&lt;dates&gt;&lt;year&gt;1991&lt;/year&gt;&lt;pub-dates&gt;&lt;date&gt;Aug&lt;/date&gt;&lt;/pub-dates&gt;&lt;/dates&gt;&lt;isbn&gt;1053-8550 (Print)&amp;#xD;1053-8550 (Linking)&lt;/isbn&gt;&lt;accession-num&gt;1931864&lt;/accession-num&gt;&lt;urls&gt;&lt;related-urls&gt;&lt;url&gt;http://www.ncbi.nlm.nih.gov/pubmed/1931864&lt;/url&gt;&lt;/related-urls&gt;&lt;/urls&gt;&lt;language&gt;eng&lt;/language&gt;&lt;/record&gt;&lt;/Cite&gt;&lt;/EndNote&gt;</w:instrText>
      </w:r>
      <w:r>
        <w:rPr/>
        <w:fldChar w:fldCharType="separate"/>
      </w:r>
      <w:bookmarkStart w:id="98" w:name="__Fieldmark__2726_1302293411"/>
      <w:r>
        <w:rPr/>
      </w:r>
      <w:r>
        <w:rPr>
          <w:rFonts w:cs="Times New Roman" w:ascii="Times New Roman" w:hAnsi="Times New Roman"/>
          <w:sz w:val="24"/>
          <w:szCs w:val="24"/>
          <w:vertAlign w:val="superscript"/>
        </w:rPr>
        <w:t>[47]</w:t>
      </w:r>
      <w:r>
        <w:rPr/>
      </w:r>
      <w:r>
        <w:rPr/>
        <w:fldChar w:fldCharType="end"/>
      </w:r>
      <w:bookmarkEnd w:id="98"/>
      <w:r>
        <w:rPr>
          <w:rFonts w:cs="Times New Roman" w:ascii="Times New Roman" w:hAnsi="Times New Roman"/>
          <w:sz w:val="24"/>
          <w:szCs w:val="24"/>
        </w:rPr>
        <w:t>. In our study, at 4 weeks, there was more CD206+ staining in the alginate formulations, especially in the alginate SLM, than in the HApN+MS formulation. These data suggest a possible polarization of the monocytes towards the anti-inflammatory/tissue remodeling M2 phenotype. Moreover, there were significantly more iNOS+ cells in the HApN</w:t>
      </w:r>
      <w:r>
        <w:rPr>
          <w:rFonts w:cs="Times New Roman" w:ascii="Times New Roman" w:hAnsi="Times New Roman"/>
          <w:sz w:val="24"/>
        </w:rPr>
        <w:t>+RCP-MS</w:t>
      </w:r>
      <w:r>
        <w:rPr>
          <w:rFonts w:cs="Times New Roman" w:ascii="Times New Roman" w:hAnsi="Times New Roman"/>
          <w:sz w:val="24"/>
          <w:szCs w:val="24"/>
        </w:rPr>
        <w:t xml:space="preserve"> formulation than in the alginate formulations at 10 weeks, which is more indicative of a pro-inflammatory situation. Taken together the results suggest that within alginate formulations there was an initial inflammatory phase that resolved over time, leading to bone formation. In contrast, in the HApN</w:t>
      </w:r>
      <w:r>
        <w:rPr>
          <w:rFonts w:cs="Times New Roman" w:ascii="Times New Roman" w:hAnsi="Times New Roman"/>
          <w:sz w:val="24"/>
        </w:rPr>
        <w:t>+RCP-MS</w:t>
      </w:r>
      <w:r>
        <w:rPr>
          <w:rFonts w:cs="Times New Roman" w:ascii="Times New Roman" w:hAnsi="Times New Roman"/>
          <w:sz w:val="24"/>
          <w:szCs w:val="24"/>
        </w:rPr>
        <w:t xml:space="preserve"> formulation the presence of pro-inflammatory cells increased over time and there were with significantly fewer anti-inflammatory CD206 positive cells. This likely also negatively influenced the bone formation process in the HApN</w:t>
      </w:r>
      <w:r>
        <w:rPr>
          <w:rFonts w:cs="Times New Roman" w:ascii="Times New Roman" w:hAnsi="Times New Roman"/>
          <w:sz w:val="24"/>
        </w:rPr>
        <w:t>+RCP-MS</w:t>
      </w:r>
      <w:r>
        <w:rPr>
          <w:rFonts w:cs="Times New Roman" w:ascii="Times New Roman" w:hAnsi="Times New Roman"/>
          <w:sz w:val="24"/>
          <w:szCs w:val="24"/>
        </w:rPr>
        <w:t xml:space="preserve"> gels. </w:t>
      </w:r>
    </w:p>
    <w:p>
      <w:pPr>
        <w:pStyle w:val="Normal"/>
        <w:spacing w:lineRule="auto" w:line="480"/>
        <w:jc w:val="both"/>
        <w:rPr/>
      </w:pPr>
      <w:r>
        <w:rPr>
          <w:rFonts w:cs="Times New Roman" w:ascii="Times New Roman" w:hAnsi="Times New Roman"/>
          <w:sz w:val="24"/>
          <w:szCs w:val="24"/>
        </w:rPr>
        <w:t xml:space="preserve">Vascularization is another critical factor for successful bone formation. It has been demonstrated that HA-based scaffolds promote angiogenesis when used in a wide variety of applications, such as abdominal wall defect repair, brain injury or heart disease models </w:t>
      </w:r>
      <w:r>
        <w:fldChar w:fldCharType="begin"/>
      </w:r>
      <w:r>
        <w:rPr/>
        <w:instrText>ADDIN EN.CITE</w:instrText>
      </w:r>
      <w:r>
        <w:rPr/>
        <w:fldChar w:fldCharType="separate"/>
      </w:r>
      <w:bookmarkStart w:id="99" w:name="__Fieldmark__2828_1302293411"/>
      <w:r>
        <w:rPr/>
      </w:r>
      <w:r>
        <w:rPr/>
      </w:r>
      <w:r>
        <w:rPr/>
        <w:fldChar w:fldCharType="end"/>
      </w:r>
      <w:r>
        <w:fldChar w:fldCharType="begin"/>
      </w:r>
      <w:r>
        <w:rPr/>
        <w:instrText>ADDIN EN.CITE.DATA</w:instrText>
      </w:r>
      <w:r>
        <w:rPr/>
        <w:fldChar w:fldCharType="separate"/>
      </w:r>
      <w:bookmarkStart w:id="100" w:name="__Fieldmark__2827_1302293411"/>
      <w:bookmarkEnd w:id="99"/>
      <w:r>
        <w:rPr/>
      </w:r>
      <w:r>
        <w:rPr>
          <w:rFonts w:cs="Times New Roman" w:ascii="Times New Roman" w:hAnsi="Times New Roman"/>
          <w:sz w:val="24"/>
          <w:szCs w:val="24"/>
          <w:vertAlign w:val="superscript"/>
        </w:rPr>
        <w:t>[48]</w:t>
      </w:r>
      <w:r>
        <w:rPr/>
      </w:r>
      <w:r>
        <w:rPr/>
        <w:fldChar w:fldCharType="end"/>
      </w:r>
      <w:bookmarkEnd w:id="100"/>
      <w:r>
        <w:rPr>
          <w:rFonts w:cs="Times New Roman" w:ascii="Times New Roman" w:hAnsi="Times New Roman"/>
          <w:sz w:val="24"/>
          <w:szCs w:val="24"/>
        </w:rPr>
        <w:t xml:space="preserve">. Moreover, Cui </w:t>
      </w:r>
      <w:r>
        <w:rPr>
          <w:rFonts w:cs="Times New Roman" w:ascii="Times New Roman" w:hAnsi="Times New Roman"/>
          <w:i/>
          <w:sz w:val="24"/>
          <w:szCs w:val="24"/>
        </w:rPr>
        <w:t>et al.</w:t>
      </w:r>
      <w:r>
        <w:rPr>
          <w:rFonts w:cs="Times New Roman" w:ascii="Times New Roman" w:hAnsi="Times New Roman"/>
          <w:sz w:val="24"/>
          <w:szCs w:val="24"/>
        </w:rPr>
        <w:t xml:space="preserve"> demonstrated the ability of HA-RGD scaffolds to support angiogenesis in the cortex of the brain </w:t>
      </w:r>
      <w:r>
        <w:fldChar w:fldCharType="begin"/>
      </w:r>
      <w:r>
        <w:rPr/>
        <w:instrText>ADDIN EN.CITE</w:instrText>
      </w:r>
      <w:r>
        <w:rPr/>
        <w:fldChar w:fldCharType="separate"/>
      </w:r>
      <w:bookmarkStart w:id="101" w:name="__Fieldmark__2841_1302293411"/>
      <w:r>
        <w:rPr/>
      </w:r>
      <w:r>
        <w:rPr/>
      </w:r>
      <w:r>
        <w:rPr/>
        <w:fldChar w:fldCharType="end"/>
      </w:r>
      <w:r>
        <w:fldChar w:fldCharType="begin"/>
      </w:r>
      <w:r>
        <w:rPr/>
        <w:instrText>ADDIN EN.CITE.DATA</w:instrText>
      </w:r>
      <w:r>
        <w:rPr/>
        <w:fldChar w:fldCharType="separate"/>
      </w:r>
      <w:bookmarkStart w:id="102" w:name="__Fieldmark__2840_1302293411"/>
      <w:bookmarkEnd w:id="101"/>
      <w:r>
        <w:rPr/>
      </w:r>
      <w:r>
        <w:rPr>
          <w:rFonts w:cs="Times New Roman" w:ascii="Times New Roman" w:hAnsi="Times New Roman"/>
          <w:sz w:val="24"/>
          <w:szCs w:val="24"/>
          <w:vertAlign w:val="superscript"/>
        </w:rPr>
        <w:t>[49]</w:t>
      </w:r>
      <w:r>
        <w:rPr/>
      </w:r>
      <w:r>
        <w:rPr/>
        <w:fldChar w:fldCharType="end"/>
      </w:r>
      <w:bookmarkEnd w:id="102"/>
      <w:r>
        <w:rPr>
          <w:rFonts w:cs="Times New Roman" w:ascii="Times New Roman" w:hAnsi="Times New Roman"/>
          <w:sz w:val="24"/>
          <w:szCs w:val="24"/>
        </w:rPr>
        <w:t xml:space="preserve">. Similarly, alginate-based beads loaded with VEGF had been used subcutaneously for bone tissue engineering, promoting angiogenesis </w:t>
      </w:r>
      <w:r>
        <w:fldChar w:fldCharType="begin"/>
      </w:r>
      <w:r>
        <w:rPr/>
        <w:instrText>ADDIN EN.CITE &lt;EndNote&gt;&lt;Cite&gt;&lt;Author&gt;Agarwal&lt;/Author&gt;&lt;Year&gt;2016&lt;/Year&gt;&lt;RecNum&gt;63&lt;/RecNum&gt;&lt;DisplayText&gt;&lt;style face="superscript"&gt;[50]&lt;/style&gt;&lt;/DisplayText&gt;&lt;record&gt;&lt;rec-number&gt;63&lt;/rec-number&gt;&lt;foreign-keys&gt;&lt;key app="EN" db-id="wdds2t9tiwvf9mee0ac52ewfxse5dwxfx9ad" timestamp="1513894156"&gt;63&lt;/key&gt;&lt;/foreign-keys&gt;&lt;ref-type name="Journal Article"&gt;17&lt;/ref-type&gt;&lt;contributors&gt;&lt;authors&gt;&lt;author&gt;Agarwal, T.&lt;/author&gt;&lt;author&gt;Kabiraj, P.&lt;/author&gt;&lt;author&gt;Narayana, G. H.&lt;/author&gt;&lt;author&gt;Kulanthaivel, S.&lt;/author&gt;&lt;author&gt;Kasiviswanathan, U.&lt;/author&gt;&lt;author&gt;Pal, K.&lt;/author&gt;&lt;author&gt;Giri, S.&lt;/author&gt;&lt;author&gt;Maiti, T. K.&lt;/author&gt;&lt;author&gt;Banerjee, I.&lt;/author&gt;&lt;/authors&gt;&lt;/contributors&gt;&lt;auth-address&gt;Department of Biotechnology and Medical Engineering, National Institute of Technology , Rourkela, Odisha 769008, India.&amp;#xD;Department of Biotechnology, Indian Institute of Technology , Kharagpur, West Bengal 721302, India.&amp;#xD;Department of Chemistry, National Institute of Technology , Rourkela, Odisha 769008, India.&lt;/auth-address&gt;&lt;titles&gt;&lt;title&gt;Alginate Bead Based Hexagonal Close Packed 3D Implant for Bone Tissue Engineering&lt;/title&gt;&lt;secondary-title&gt;ACS Appl Mater Interfaces&lt;/secondary-title&gt;&lt;/titles&gt;&lt;periodical&gt;&lt;full-title&gt;ACS Applied Materials &amp;amp; Interfaces&lt;/full-title&gt;&lt;abbr-1&gt;ACS Appl. Mater. Interfaces&lt;/abbr-1&gt;&lt;abbr-2&gt;ACS Appl Mater Interfaces&lt;/abbr-2&gt;&lt;abbr-3&gt;ACS Applied Materials and Interfaces&lt;/abbr-3&gt;&lt;/periodical&gt;&lt;pages&gt;32132-32145&lt;/pages&gt;&lt;volume&gt;8&lt;/volume&gt;&lt;number&gt;47&lt;/number&gt;&lt;edition&gt;2016/12/10&lt;/edition&gt;&lt;dates&gt;&lt;year&gt;2016&lt;/year&gt;&lt;pub-dates&gt;&lt;date&gt;Nov 30&lt;/date&gt;&lt;/pub-dates&gt;&lt;/dates&gt;&lt;isbn&gt;1944-8252 (Electronic)&amp;#xD;1944-8244 (Linking)&lt;/isbn&gt;&lt;accession-num&gt;27933834&lt;/accession-num&gt;&lt;urls&gt;&lt;related-urls&gt;&lt;url&gt;http://www.ncbi.nlm.nih.gov/pubmed/27933834&lt;/url&gt;&lt;url&gt;https://pubs.acs.org/doi/10.1021/acsami.6b08512&lt;/url&gt;&lt;/related-urls&gt;&lt;/urls&gt;&lt;electronic-resource-num&gt;10.1021/acsami.6b08512&lt;/electronic-resource-num&gt;&lt;language&gt;eng&lt;/language&gt;&lt;/record&gt;&lt;/Cite&gt;&lt;/EndNote&gt;</w:instrText>
      </w:r>
      <w:r>
        <w:rPr/>
        <w:fldChar w:fldCharType="separate"/>
      </w:r>
      <w:bookmarkStart w:id="103" w:name="__Fieldmark__2849_1302293411"/>
      <w:r>
        <w:rPr/>
      </w:r>
      <w:r>
        <w:rPr>
          <w:rFonts w:cs="Times New Roman" w:ascii="Times New Roman" w:hAnsi="Times New Roman"/>
          <w:sz w:val="24"/>
          <w:szCs w:val="24"/>
          <w:vertAlign w:val="superscript"/>
        </w:rPr>
        <w:t>[50]</w:t>
      </w:r>
      <w:r>
        <w:rPr/>
      </w:r>
      <w:r>
        <w:rPr/>
        <w:fldChar w:fldCharType="end"/>
      </w:r>
      <w:bookmarkEnd w:id="103"/>
      <w:r>
        <w:rPr>
          <w:rFonts w:cs="Times New Roman" w:ascii="Times New Roman" w:hAnsi="Times New Roman"/>
          <w:sz w:val="24"/>
          <w:szCs w:val="24"/>
        </w:rPr>
        <w:t xml:space="preserve">. Furthermore, a study in which alginate and alginate-RGD hydrogel were injected into the infarct area of rats showed that both increased arteriole density but that the greatest angiogenic response was in the alginate-RGD hydrogel condition </w:t>
      </w:r>
      <w:r>
        <w:fldChar w:fldCharType="begin"/>
      </w:r>
      <w:r>
        <w:rPr/>
        <w:instrText>ADDIN EN.CITE</w:instrText>
      </w:r>
      <w:r>
        <w:rPr/>
        <w:fldChar w:fldCharType="separate"/>
      </w:r>
      <w:bookmarkStart w:id="104" w:name="__Fieldmark__2871_1302293411"/>
      <w:r>
        <w:rPr/>
      </w:r>
      <w:r>
        <w:rPr/>
      </w:r>
      <w:r>
        <w:rPr/>
        <w:fldChar w:fldCharType="end"/>
      </w:r>
      <w:r>
        <w:fldChar w:fldCharType="begin"/>
      </w:r>
      <w:r>
        <w:rPr/>
        <w:instrText>ADDIN EN.CITE.DATA</w:instrText>
      </w:r>
      <w:r>
        <w:rPr/>
        <w:fldChar w:fldCharType="separate"/>
      </w:r>
      <w:bookmarkStart w:id="105" w:name="__Fieldmark__2870_1302293411"/>
      <w:bookmarkEnd w:id="104"/>
      <w:r>
        <w:rPr/>
      </w:r>
      <w:r>
        <w:rPr>
          <w:rFonts w:cs="Times New Roman" w:ascii="Times New Roman" w:hAnsi="Times New Roman"/>
          <w:sz w:val="24"/>
          <w:szCs w:val="24"/>
          <w:vertAlign w:val="superscript"/>
        </w:rPr>
        <w:t>[51]</w:t>
      </w:r>
      <w:r>
        <w:rPr/>
      </w:r>
      <w:r>
        <w:rPr/>
        <w:fldChar w:fldCharType="end"/>
      </w:r>
      <w:bookmarkEnd w:id="105"/>
      <w:r>
        <w:rPr>
          <w:rFonts w:cs="Times New Roman" w:ascii="Times New Roman" w:hAnsi="Times New Roman"/>
          <w:sz w:val="24"/>
          <w:szCs w:val="24"/>
        </w:rPr>
        <w:t xml:space="preserve">. Our findings agree with the results obtained in previous studies and we have demonstrated that both thermoresponsive HA and alginate enriched with RGD MS are able to promote vasculature formation ectopically when loaded with BMP-2. It is, however, clear that in this case more does not necessarily mean better: although significantly more vessels were present in the HA implants than in the alginates, this did not lead to the formation of any bony tissue. </w:t>
      </w:r>
    </w:p>
    <w:p>
      <w:pPr>
        <w:pStyle w:val="Heading1"/>
        <w:numPr>
          <w:ilvl w:val="0"/>
          <w:numId w:val="0"/>
        </w:numPr>
        <w:spacing w:lineRule="auto" w:line="360"/>
        <w:ind w:left="357" w:hanging="357"/>
        <w:jc w:val="both"/>
        <w:rPr>
          <w:rFonts w:ascii="Times New Roman" w:hAnsi="Times New Roman" w:cs="Times New Roman"/>
          <w:szCs w:val="24"/>
        </w:rPr>
      </w:pPr>
      <w:r>
        <w:rPr>
          <w:rFonts w:cs="Times New Roman" w:ascii="Times New Roman" w:hAnsi="Times New Roman"/>
          <w:szCs w:val="24"/>
        </w:rPr>
        <w:t>4. Conclusions</w:t>
      </w:r>
    </w:p>
    <w:p>
      <w:pPr>
        <w:pStyle w:val="Normal"/>
        <w:spacing w:lineRule="auto" w:line="480"/>
        <w:jc w:val="both"/>
        <w:rPr>
          <w:rFonts w:ascii="Times New Roman" w:hAnsi="Times New Roman" w:cs="Times New Roman"/>
          <w:sz w:val="24"/>
          <w:szCs w:val="24"/>
        </w:rPr>
      </w:pPr>
      <w:r>
        <w:rPr>
          <w:rFonts w:cs="Times New Roman" w:ascii="Times New Roman" w:hAnsi="Times New Roman"/>
          <w:i/>
          <w:sz w:val="24"/>
          <w:szCs w:val="24"/>
        </w:rPr>
        <w:t>In situ</w:t>
      </w:r>
      <w:r>
        <w:rPr>
          <w:rFonts w:cs="Times New Roman" w:ascii="Times New Roman" w:hAnsi="Times New Roman"/>
          <w:sz w:val="24"/>
          <w:szCs w:val="24"/>
        </w:rPr>
        <w:t xml:space="preserve"> gelling hydrogels encapsulating BMP-2 loaded RCP-MS represent an injectable slow-release protein delivery system. Alginate formulations effectively promoted bone formation in an ectopic model. While there was successful infiltration of cells into all three formulations, differences between materials were observed in the macrophage phenotype and invasion kinetics. Also, while there was ample vascularization in all three materials there were clear differences in the total number of blood vessels with the higher number present in the HA formulation not increasing the success of </w:t>
      </w:r>
      <w:r>
        <w:rPr>
          <w:rFonts w:cs="Times New Roman" w:ascii="Times New Roman" w:hAnsi="Times New Roman"/>
          <w:i/>
          <w:sz w:val="24"/>
          <w:szCs w:val="24"/>
        </w:rPr>
        <w:t>de novo</w:t>
      </w:r>
      <w:r>
        <w:rPr>
          <w:rFonts w:cs="Times New Roman" w:ascii="Times New Roman" w:hAnsi="Times New Roman"/>
          <w:sz w:val="24"/>
          <w:szCs w:val="24"/>
        </w:rPr>
        <w:t xml:space="preserve"> bone formation. Thus, alginate SLG combined with RCP-MS and loaded with low dose BMP-2 displayed </w:t>
      </w:r>
      <w:r>
        <w:rPr>
          <w:rFonts w:cs="Times New Roman" w:ascii="Times New Roman" w:hAnsi="Times New Roman"/>
          <w:bCs/>
          <w:sz w:val="24"/>
          <w:szCs w:val="24"/>
        </w:rPr>
        <w:t xml:space="preserve">optimal protein release rate, cellular invasion, material degradation rate and vascularization kinetics to support bone formation. </w:t>
      </w:r>
      <w:r>
        <w:rPr>
          <w:rFonts w:cs="Times New Roman" w:ascii="Times New Roman" w:hAnsi="Times New Roman"/>
          <w:sz w:val="24"/>
          <w:szCs w:val="24"/>
        </w:rPr>
        <w:t xml:space="preserve">This study presents a novel cell-free injectable slow-release system that has potential as a void-filling material for the induction of new bone formation. </w:t>
      </w:r>
    </w:p>
    <w:p>
      <w:pPr>
        <w:pStyle w:val="Heading1"/>
        <w:numPr>
          <w:ilvl w:val="0"/>
          <w:numId w:val="0"/>
        </w:numPr>
        <w:spacing w:lineRule="auto" w:line="360"/>
        <w:jc w:val="both"/>
        <w:rPr/>
      </w:pPr>
      <w:r>
        <w:rPr>
          <w:rFonts w:cs="Times New Roman" w:ascii="Times New Roman" w:hAnsi="Times New Roman"/>
        </w:rPr>
        <w:t>5. Materials and methods</w:t>
      </w:r>
    </w:p>
    <w:p>
      <w:pPr>
        <w:pStyle w:val="Heading1"/>
        <w:numPr>
          <w:ilvl w:val="0"/>
          <w:numId w:val="0"/>
        </w:numPr>
        <w:spacing w:lineRule="auto" w:line="360" w:before="240" w:after="240"/>
        <w:jc w:val="both"/>
        <w:rPr>
          <w:rFonts w:ascii="Times New Roman" w:hAnsi="Times New Roman" w:cs="Times New Roman"/>
        </w:rPr>
      </w:pPr>
      <w:r>
        <w:rPr>
          <w:rFonts w:cs="Times New Roman" w:ascii="Times New Roman" w:hAnsi="Times New Roman"/>
        </w:rPr>
        <w:t xml:space="preserve">5.1. Materials </w:t>
      </w:r>
    </w:p>
    <w:p>
      <w:pPr>
        <w:pStyle w:val="Normal"/>
        <w:spacing w:lineRule="auto" w:line="480" w:before="0" w:after="240"/>
        <w:jc w:val="both"/>
        <w:textAlignment w:val="baseline"/>
        <w:rPr/>
      </w:pPr>
      <w:r>
        <w:rPr>
          <w:rFonts w:cs="Times New Roman" w:ascii="Times New Roman" w:hAnsi="Times New Roman"/>
          <w:sz w:val="24"/>
          <w:szCs w:val="24"/>
        </w:rPr>
        <w:t xml:space="preserve">Human collagen type I based recombinant peptide (RCP) is a product of Fujifilm commercially available as Cellnest™. It is produced in a fermentation process by genetically modified yeast Pichia pastoris as described elsewhere </w:t>
      </w:r>
      <w:r>
        <w:fldChar w:fldCharType="begin"/>
      </w:r>
      <w:r>
        <w:rPr/>
        <w:instrText>ADDIN EN.CITE</w:instrText>
      </w:r>
      <w:r>
        <w:rPr/>
        <w:fldChar w:fldCharType="separate"/>
      </w:r>
      <w:bookmarkStart w:id="106" w:name="__Fieldmark__2978_1302293411"/>
      <w:r>
        <w:rPr/>
      </w:r>
      <w:r>
        <w:rPr/>
      </w:r>
      <w:r>
        <w:rPr/>
        <w:fldChar w:fldCharType="end"/>
      </w:r>
      <w:r>
        <w:fldChar w:fldCharType="begin"/>
      </w:r>
      <w:r>
        <w:rPr/>
        <w:instrText>ADDIN EN.CITE.DATA</w:instrText>
      </w:r>
      <w:r>
        <w:rPr/>
        <w:fldChar w:fldCharType="separate"/>
      </w:r>
      <w:bookmarkStart w:id="107" w:name="__Fieldmark__2977_1302293411"/>
      <w:bookmarkEnd w:id="106"/>
      <w:r>
        <w:rPr/>
      </w:r>
      <w:r>
        <w:rPr>
          <w:rFonts w:cs="Times New Roman" w:ascii="Times New Roman" w:hAnsi="Times New Roman"/>
          <w:sz w:val="24"/>
          <w:szCs w:val="24"/>
          <w:vertAlign w:val="superscript"/>
        </w:rPr>
        <w:t>[10a, 52]</w:t>
      </w:r>
      <w:r>
        <w:rPr/>
      </w:r>
      <w:r>
        <w:rPr/>
        <w:fldChar w:fldCharType="end"/>
      </w:r>
      <w:bookmarkEnd w:id="107"/>
      <w:r>
        <w:rPr>
          <w:rFonts w:cs="Times New Roman" w:ascii="Times New Roman" w:hAnsi="Times New Roman"/>
          <w:sz w:val="24"/>
          <w:szCs w:val="24"/>
        </w:rPr>
        <w:t xml:space="preserve">. RCP is composed of 571 amino acids; it has an isoelectric point (pI) of 10.02 and a molecular weight of 51.2 kDa. BMP-2 was produced as described previously </w:t>
      </w:r>
      <w:r>
        <w:fldChar w:fldCharType="begin"/>
      </w:r>
      <w:r>
        <w:rPr/>
        <w:instrText>ADDIN EN.CITE</w:instrText>
      </w:r>
      <w:r>
        <w:rPr/>
        <w:fldChar w:fldCharType="separate"/>
      </w:r>
      <w:bookmarkStart w:id="108" w:name="__Fieldmark__2985_1302293411"/>
      <w:r>
        <w:rPr/>
      </w:r>
      <w:r>
        <w:rPr/>
      </w:r>
      <w:r>
        <w:rPr/>
        <w:fldChar w:fldCharType="end"/>
      </w:r>
      <w:r>
        <w:fldChar w:fldCharType="begin"/>
      </w:r>
      <w:r>
        <w:rPr/>
        <w:instrText>ADDIN EN.CITE.DATA</w:instrText>
      </w:r>
      <w:r>
        <w:rPr/>
        <w:fldChar w:fldCharType="separate"/>
      </w:r>
      <w:bookmarkStart w:id="109" w:name="__Fieldmark__2984_1302293411"/>
      <w:bookmarkEnd w:id="108"/>
      <w:r>
        <w:rPr/>
      </w:r>
      <w:r>
        <w:rPr>
          <w:rFonts w:cs="Times New Roman" w:ascii="Times New Roman" w:hAnsi="Times New Roman"/>
          <w:sz w:val="24"/>
          <w:szCs w:val="24"/>
          <w:vertAlign w:val="superscript"/>
        </w:rPr>
        <w:t>[53]</w:t>
      </w:r>
      <w:r>
        <w:rPr/>
      </w:r>
      <w:r>
        <w:rPr/>
        <w:fldChar w:fldCharType="end"/>
      </w:r>
      <w:bookmarkEnd w:id="109"/>
      <w:r>
        <w:rPr>
          <w:rFonts w:cs="Times New Roman" w:ascii="Times New Roman" w:hAnsi="Times New Roman"/>
          <w:sz w:val="24"/>
          <w:szCs w:val="24"/>
        </w:rPr>
        <w:t xml:space="preserve"> and it was kindly provided by Dr. Joachim Nickel (Fraunhofer IGB, Germany). Pronova SLM20 (G/M Ratio: ≤ 1, sterile alginate, Viscosity: 20-99 mPa*s, MW: 75-150 kDa,) and Pronova SLG20 (G/M Ratio: ≥ 1.5, sterile alginate, Viscosity: 20-99 mPa*s, MW: 75-150 kDa, G/M Ratio: ≤ 1) were ordered from Novamatrix (Sandvika, Norway). Thermoresponsive HApN (MW: 1.68 MDa) consisting of HA grafted with poly (</w:t>
      </w:r>
      <w:r>
        <w:rPr>
          <w:rFonts w:cs="Times New Roman" w:ascii="Times New Roman" w:hAnsi="Times New Roman"/>
          <w:i/>
          <w:sz w:val="24"/>
          <w:szCs w:val="24"/>
        </w:rPr>
        <w:t>N</w:t>
      </w:r>
      <w:r>
        <w:rPr>
          <w:rFonts w:cs="Times New Roman" w:ascii="Times New Roman" w:hAnsi="Times New Roman"/>
          <w:sz w:val="24"/>
          <w:szCs w:val="24"/>
        </w:rPr>
        <w:t xml:space="preserve">-isopropylacrylamide) (PNIPAM) was prepared as described in D’Este et al </w:t>
      </w:r>
      <w:r>
        <w:fldChar w:fldCharType="begin"/>
      </w:r>
      <w:r>
        <w:rPr/>
        <w:instrText>ADDIN EN.CITE &lt;EndNote&gt;&lt;Cite&gt;&lt;Author&gt;D&amp;apos;Este&lt;/Author&gt;&lt;Year&gt;2012&lt;/Year&gt;&lt;RecNum&gt;23&lt;/RecNum&gt;&lt;DisplayText&gt;&lt;style face="superscript"&gt;[22]&lt;/style&gt;&lt;/DisplayText&gt;&lt;record&gt;&lt;rec-number&gt;23&lt;/rec-number&gt;&lt;foreign-keys&gt;&lt;key app="EN" db-id="wdds2t9tiwvf9mee0ac52ewfxse5dwxfx9ad" timestamp="1513894149"&gt;23&lt;/key&gt;&lt;/foreign-keys&gt;&lt;ref-type name="Journal Article"&gt;17&lt;/ref-type&gt;&lt;contributors&gt;&lt;authors&gt;&lt;author&gt;D&amp;apos;Este, M.&lt;/author&gt;&lt;author&gt;Alini, M.&lt;/author&gt;&lt;author&gt;Eglin, D.&lt;/author&gt;&lt;/authors&gt;&lt;/contributors&gt;&lt;auth-address&gt;AO Research Institute Davos, Clavadelerstrasse 8, 7270 Davos, Switzerland. matteo.deste@aofoundation.org&lt;/auth-address&gt;&lt;titles&gt;&lt;title&gt;Single step synthesis and characterization of thermoresponsive hyaluronan hydrogels&lt;/title&gt;&lt;secondary-title&gt;Carbohydr Polym&lt;/secondary-title&gt;&lt;/titles&gt;&lt;periodical&gt;&lt;full-title&gt;Carbohydrate Polymers&lt;/full-title&gt;&lt;abbr-1&gt;Carbohydr. Polym.&lt;/abbr-1&gt;&lt;abbr-2&gt;Carbohydr Polym&lt;/abbr-2&gt;&lt;/periodical&gt;&lt;pages&gt;1378-85&lt;/pages&gt;&lt;volume&gt;90&lt;/volume&gt;&lt;number&gt;3&lt;/number&gt;&lt;edition&gt;2012/09/04&lt;/edition&gt;&lt;keywords&gt;&lt;keyword&gt;Acrylic Resins/*chemistry&lt;/keyword&gt;&lt;keyword&gt;Hot Temperature&lt;/keyword&gt;&lt;keyword&gt;Hyaluronic Acid/*chemical synthesis/chemistry&lt;/keyword&gt;&lt;keyword&gt;Hydrogels/*chemical synthesis/chemistry&lt;/keyword&gt;&lt;keyword&gt;Hydrophobic and Hydrophilic Interactions&lt;/keyword&gt;&lt;/keywords&gt;&lt;dates&gt;&lt;year&gt;2012&lt;/year&gt;&lt;pub-dates&gt;&lt;date&gt;Oct 15&lt;/date&gt;&lt;/pub-dates&gt;&lt;/dates&gt;&lt;isbn&gt;1879-1344 (Electronic)&amp;#xD;0144-8617 (Linking)&lt;/isbn&gt;&lt;accession-num&gt;22939354&lt;/accession-num&gt;&lt;urls&gt;&lt;related-urls&gt;&lt;url&gt;http://www.ncbi.nlm.nih.gov/pubmed/22939354&lt;/url&gt;&lt;/related-urls&gt;&lt;/urls&gt;&lt;electronic-resource-num&gt;S0144-8617(12)00663-7 [pii]&amp;#xD;10.1016/j.carbpol.2012.07.007&lt;/electronic-resource-num&gt;&lt;language&gt;eng&lt;/language&gt;&lt;/record&gt;&lt;/Cite&gt;&lt;/EndNote&gt;</w:instrText>
      </w:r>
      <w:r>
        <w:rPr/>
        <w:fldChar w:fldCharType="separate"/>
      </w:r>
      <w:bookmarkStart w:id="110" w:name="__Fieldmark__2998_1302293411"/>
      <w:r>
        <w:rPr/>
      </w:r>
      <w:r>
        <w:rPr>
          <w:rFonts w:cs="Times New Roman" w:ascii="Times New Roman" w:hAnsi="Times New Roman"/>
          <w:sz w:val="24"/>
          <w:szCs w:val="24"/>
          <w:vertAlign w:val="superscript"/>
        </w:rPr>
        <w:t>[22]</w:t>
      </w:r>
      <w:r>
        <w:rPr/>
      </w:r>
      <w:r>
        <w:rPr/>
        <w:fldChar w:fldCharType="end"/>
      </w:r>
      <w:bookmarkEnd w:id="110"/>
      <w:r>
        <w:rPr>
          <w:rFonts w:cs="Times New Roman" w:ascii="Times New Roman" w:hAnsi="Times New Roman"/>
          <w:sz w:val="24"/>
          <w:szCs w:val="24"/>
        </w:rPr>
        <w:t>.</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Hexamethylene diisocyanate (HMDIC), corn oil, sodium chloride, calcium carbonate (CaCO3) and glucono delta-lactone (GDL) were purchased from Sigma-Aldrich (St. Louis, MO, USA). Ethanol, acetone and hydrochloric acid were purchased from Millipore (Billerica, MA, USA). ELISA development kit and reagents for BMP-2 determination were ordered from Peprotech (Rocky Hill, NJ, USA). Dulbecco’s Modified Eagle’s Medium (DMEM), fetal bovine serum (FBS), phosphate-buffered saline (PBS) and penicillin-streptomycin (P/S) were ordered from Thermofisher Scientific (Waltham, MA, USA).</w:t>
      </w:r>
    </w:p>
    <w:p>
      <w:pPr>
        <w:pStyle w:val="Heading1"/>
        <w:numPr>
          <w:ilvl w:val="0"/>
          <w:numId w:val="0"/>
        </w:numPr>
        <w:spacing w:lineRule="auto" w:line="360"/>
        <w:jc w:val="both"/>
        <w:rPr>
          <w:rFonts w:ascii="Times New Roman" w:hAnsi="Times New Roman" w:cs="Times New Roman"/>
        </w:rPr>
      </w:pPr>
      <w:r>
        <w:rPr>
          <w:rFonts w:cs="Times New Roman" w:ascii="Times New Roman" w:hAnsi="Times New Roman"/>
        </w:rPr>
        <w:t>5.2. RCP microsphere preparation</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lineRule="auto" w:line="480"/>
        <w:jc w:val="both"/>
        <w:rPr/>
      </w:pPr>
      <w:r>
        <w:rPr>
          <w:rFonts w:cs="Times New Roman" w:ascii="Times New Roman" w:hAnsi="Times New Roman"/>
          <w:sz w:val="24"/>
          <w:szCs w:val="24"/>
        </w:rPr>
        <w:t xml:space="preserve">The types of RCP-MS used in this study were selected based on a previous study in which the adsorption of BMP-2 to the RCP-was described </w:t>
      </w:r>
      <w:r>
        <w:fldChar w:fldCharType="begin"/>
      </w:r>
      <w:r>
        <w:rPr/>
        <w:instrText>ADDIN EN.CITE</w:instrText>
      </w:r>
      <w:r>
        <w:rPr/>
        <w:fldChar w:fldCharType="separate"/>
      </w:r>
      <w:bookmarkStart w:id="111" w:name="__Fieldmark__3015_1302293411"/>
      <w:r>
        <w:rPr/>
      </w:r>
      <w:r>
        <w:rPr/>
      </w:r>
      <w:r>
        <w:rPr/>
        <w:fldChar w:fldCharType="end"/>
      </w:r>
      <w:r>
        <w:fldChar w:fldCharType="begin"/>
      </w:r>
      <w:r>
        <w:rPr/>
        <w:instrText>ADDIN EN.CITE.DATA</w:instrText>
      </w:r>
      <w:r>
        <w:rPr/>
        <w:fldChar w:fldCharType="separate"/>
      </w:r>
      <w:bookmarkStart w:id="112" w:name="__Fieldmark__3014_1302293411"/>
      <w:bookmarkEnd w:id="111"/>
      <w:r>
        <w:rPr/>
      </w:r>
      <w:r>
        <w:rPr>
          <w:rFonts w:cs="Times New Roman" w:ascii="Times New Roman" w:hAnsi="Times New Roman"/>
          <w:sz w:val="24"/>
          <w:szCs w:val="24"/>
          <w:vertAlign w:val="superscript"/>
        </w:rPr>
        <w:t>[10c]</w:t>
      </w:r>
      <w:r>
        <w:rPr/>
      </w:r>
      <w:r>
        <w:rPr/>
        <w:fldChar w:fldCharType="end"/>
      </w:r>
      <w:bookmarkEnd w:id="112"/>
      <w:r>
        <w:rPr>
          <w:rFonts w:cs="Times New Roman" w:ascii="Times New Roman" w:hAnsi="Times New Roman"/>
          <w:sz w:val="24"/>
          <w:szCs w:val="24"/>
        </w:rPr>
        <w:t>, as well as the effect of BMP-2 concentration, RCP-MS size, porosity and crosslinking of the RCP-MS on BMP-2 release. Based on this study, HMDIC crosslinked RCP-MS with a range of dimeter 50-75 µm were selected as a promising candidate in terms of slow-release of BMP-2.</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RCP-MS were produced by emulsification using calcium carbonate (CaCO</w:t>
      </w:r>
      <w:r>
        <w:rPr>
          <w:rFonts w:cs="Times New Roman" w:ascii="Times New Roman" w:hAnsi="Times New Roman"/>
          <w:sz w:val="24"/>
          <w:szCs w:val="24"/>
          <w:vertAlign w:val="subscript"/>
        </w:rPr>
        <w:t>3</w:t>
      </w:r>
      <w:r>
        <w:rPr>
          <w:rFonts w:cs="Times New Roman" w:ascii="Times New Roman" w:hAnsi="Times New Roman"/>
          <w:sz w:val="24"/>
          <w:szCs w:val="24"/>
        </w:rPr>
        <w:t>). Briefly, a 20% aqueous RCP solution was prepared and mixed with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fine powder (with a size of &lt;1 µm) in a 1:1 (w/w) ratio of RCP to CaCO</w:t>
      </w:r>
      <w:r>
        <w:rPr>
          <w:rFonts w:cs="Times New Roman" w:ascii="Times New Roman" w:hAnsi="Times New Roman"/>
          <w:sz w:val="24"/>
          <w:szCs w:val="24"/>
          <w:vertAlign w:val="subscript"/>
        </w:rPr>
        <w:t>3</w:t>
      </w:r>
      <w:r>
        <w:rPr>
          <w:rFonts w:cs="Times New Roman" w:ascii="Times New Roman" w:hAnsi="Times New Roman"/>
          <w:sz w:val="24"/>
          <w:szCs w:val="24"/>
        </w:rPr>
        <w:t>. This suspension was emulsified in corn oil at 50 °C. After cooling, the emulsified microspheres were precipitated and washed three times with acetone, and subsequently dried overnight at 60 °C. The microspheres were sieved to 50-75 µm size (Retsch GmbH, Germany). Particles were then crosslinked by HMDIC by mixing 1 g of spheres and 1mL of HMDIC in 100 mL ethanol for 1 day while stirring. Excess crosslinker was removed by washing several times with ethanol after which the particles were dried at 60 °C. The particles used for the alginate and HApN formulations were prepared in identical way except that, for the HApN formulation,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was removed after the crosslinking step. For the alginate formulations the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was left in as the Ca</w:t>
      </w:r>
      <w:r>
        <w:rPr>
          <w:rFonts w:cs="Times New Roman" w:ascii="Times New Roman" w:hAnsi="Times New Roman"/>
          <w:sz w:val="24"/>
          <w:szCs w:val="24"/>
          <w:vertAlign w:val="superscript"/>
        </w:rPr>
        <w:t>2+</w:t>
      </w:r>
      <w:r>
        <w:rPr>
          <w:rFonts w:cs="Times New Roman" w:ascii="Times New Roman" w:hAnsi="Times New Roman"/>
          <w:sz w:val="24"/>
          <w:szCs w:val="24"/>
        </w:rPr>
        <w:t xml:space="preserve"> also serves to crosslink the alginate into a hydrogel. For the HApN formulation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was removed by suspension of RCP-MS in 0.23 M hydrochloric acid for 30 min, followed by repeated washing with water until a neutral pH was achieved, and the RCP-MS were dried at 60 °C. Complete removal of the calcium was confirmed by EDX mapping (</w:t>
      </w:r>
      <w:r>
        <w:rPr>
          <w:rFonts w:cs="Times New Roman" w:ascii="Times New Roman" w:hAnsi="Times New Roman"/>
          <w:b/>
          <w:sz w:val="24"/>
          <w:szCs w:val="24"/>
        </w:rPr>
        <w:t>Figure S1</w:t>
      </w:r>
      <w:r>
        <w:rPr>
          <w:rFonts w:cs="Times New Roman" w:ascii="Times New Roman" w:hAnsi="Times New Roman"/>
          <w:sz w:val="24"/>
          <w:szCs w:val="24"/>
        </w:rPr>
        <w:t>). The morphology of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containing and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free microspheres was analyzed by scanning electron microscope (SEM) (Jeol JSM-6335F Field Emission Scanning Electron Microscope) (</w:t>
      </w:r>
      <w:r>
        <w:rPr>
          <w:rFonts w:cs="Times New Roman" w:ascii="Times New Roman" w:hAnsi="Times New Roman"/>
          <w:b/>
          <w:sz w:val="24"/>
          <w:szCs w:val="24"/>
        </w:rPr>
        <w:t>Figure S2</w:t>
      </w:r>
      <w:r>
        <w:rPr>
          <w:rFonts w:cs="Times New Roman" w:ascii="Times New Roman" w:hAnsi="Times New Roman"/>
          <w:sz w:val="24"/>
          <w:szCs w:val="24"/>
        </w:rPr>
        <w:t>).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crystals clearly can be observed on the surface of the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 xml:space="preserve">comprising microspheres (Figure S1). Particles were gamma sterilized at 25 kGray (Synergy Health, The Netherlands) prior to use </w:t>
      </w:r>
      <w:r>
        <w:rPr>
          <w:rFonts w:cs="Times New Roman" w:ascii="Times New Roman" w:hAnsi="Times New Roman"/>
          <w:i/>
          <w:sz w:val="24"/>
          <w:szCs w:val="24"/>
        </w:rPr>
        <w:t>in vitro</w:t>
      </w:r>
      <w:r>
        <w:rPr>
          <w:rFonts w:cs="Times New Roman" w:ascii="Times New Roman" w:hAnsi="Times New Roman"/>
          <w:sz w:val="24"/>
          <w:szCs w:val="24"/>
        </w:rPr>
        <w:t xml:space="preserve"> and </w:t>
      </w:r>
      <w:r>
        <w:rPr>
          <w:rFonts w:cs="Times New Roman" w:ascii="Times New Roman" w:hAnsi="Times New Roman"/>
          <w:i/>
          <w:sz w:val="24"/>
          <w:szCs w:val="24"/>
        </w:rPr>
        <w:t>in vivo</w:t>
      </w:r>
      <w:r>
        <w:rPr>
          <w:rFonts w:cs="Times New Roman" w:ascii="Times New Roman" w:hAnsi="Times New Roman"/>
          <w:sz w:val="24"/>
          <w:szCs w:val="24"/>
        </w:rPr>
        <w:t>.</w:t>
      </w:r>
    </w:p>
    <w:p>
      <w:pPr>
        <w:pStyle w:val="Subtitle"/>
        <w:spacing w:lineRule="auto" w:line="360" w:before="240" w:after="0"/>
        <w:jc w:val="both"/>
        <w:rPr>
          <w:rFonts w:ascii="Times New Roman" w:hAnsi="Times New Roman" w:cs="Times New Roman"/>
          <w:bCs/>
          <w:iCs w:val="false"/>
          <w:color w:val="000000" w:themeColor="text1"/>
          <w:spacing w:val="0"/>
          <w:sz w:val="24"/>
          <w:szCs w:val="28"/>
        </w:rPr>
      </w:pPr>
      <w:r>
        <w:rPr>
          <w:rFonts w:cs="Times New Roman" w:ascii="Times New Roman" w:hAnsi="Times New Roman"/>
          <w:bCs/>
          <w:iCs w:val="false"/>
          <w:color w:val="000000" w:themeColor="text1"/>
          <w:spacing w:val="0"/>
          <w:sz w:val="24"/>
          <w:szCs w:val="28"/>
        </w:rPr>
        <w:t>5.3. Preparation of the hydrogel formulations</w:t>
      </w:r>
    </w:p>
    <w:p>
      <w:pPr>
        <w:pStyle w:val="Normal"/>
        <w:spacing w:lineRule="auto" w:line="480" w:before="240" w:after="0"/>
        <w:rPr/>
      </w:pPr>
      <w:r>
        <w:rPr>
          <w:rFonts w:cs="Times New Roman" w:ascii="Times New Roman" w:hAnsi="Times New Roman"/>
          <w:sz w:val="24"/>
          <w:szCs w:val="24"/>
        </w:rPr>
        <w:t xml:space="preserve">To prepare the formulations with SLM20 and SLG20 alginates, alginates were dissolved in 0.9% sterile sodium chloride to create 2% w/v solution. 68 mg of calcium comprising microspheres were incubated overnight at 4 °C with 170 µL of 122.5 µg/mL BMP-2. The following day, the swollen particles were mixed with </w:t>
      </w:r>
      <w:r>
        <w:rPr>
          <w:rFonts w:eastAsia="+mn-ea" w:cs="Times New Roman" w:ascii="Times New Roman" w:hAnsi="Times New Roman"/>
          <w:bCs/>
          <w:kern w:val="2"/>
          <w:sz w:val="24"/>
          <w:szCs w:val="24"/>
        </w:rPr>
        <w:t>1014 µL of SLM or</w:t>
      </w:r>
      <w:r>
        <w:rPr>
          <w:rFonts w:cs="Times New Roman" w:ascii="Times New Roman" w:hAnsi="Times New Roman"/>
          <w:sz w:val="24"/>
          <w:szCs w:val="24"/>
        </w:rPr>
        <w:t xml:space="preserve"> </w:t>
      </w:r>
      <w:r>
        <w:rPr>
          <w:rFonts w:eastAsia="+mn-ea" w:cs="Times New Roman" w:ascii="Times New Roman" w:hAnsi="Times New Roman"/>
          <w:bCs/>
          <w:kern w:val="2"/>
          <w:sz w:val="24"/>
          <w:szCs w:val="24"/>
        </w:rPr>
        <w:t xml:space="preserve">SLG solution. Alginates have the ability to form soft hydrogels in the presence of calcium ions; however, although the calcium carbonate released by the microspheres was enough to crosslink the alginate SLM, it was not enough to crosslink alginate SLG. </w:t>
      </w:r>
      <w:r>
        <w:rPr>
          <w:rFonts w:eastAsia="+mn-ea" w:cs="Times New Roman" w:ascii="Times New Roman" w:hAnsi="Times New Roman"/>
          <w:b/>
          <w:bCs/>
          <w:kern w:val="2"/>
          <w:sz w:val="24"/>
          <w:szCs w:val="24"/>
        </w:rPr>
        <w:t>Table 1</w:t>
      </w:r>
      <w:r>
        <w:rPr>
          <w:rFonts w:eastAsia="+mn-ea" w:cs="Times New Roman" w:ascii="Times New Roman" w:hAnsi="Times New Roman"/>
          <w:bCs/>
          <w:kern w:val="2"/>
          <w:sz w:val="24"/>
          <w:szCs w:val="24"/>
        </w:rPr>
        <w:t xml:space="preserve"> shows the composition of the formulations. Calcium ions released in the SLM formulation were below the detection limit of the colorimetric assay. In the final SLG formulation, more calcium ions (3.18 uM) were released. </w:t>
      </w:r>
      <w:r>
        <w:rPr>
          <w:rFonts w:cs="Times New Roman" w:ascii="Times New Roman" w:hAnsi="Times New Roman"/>
          <w:sz w:val="24"/>
          <w:szCs w:val="24"/>
        </w:rPr>
        <w:t xml:space="preserve">Therefore, in order to crosslink alginate SLG, GDL, was used. GDL has been combined with alginate extensively to obtain an injectable gel with optimal mechanical properties </w:t>
      </w:r>
      <w:r>
        <w:fldChar w:fldCharType="begin"/>
      </w:r>
      <w:r>
        <w:rPr/>
        <w:instrText>ADDIN EN.CITE</w:instrText>
      </w:r>
      <w:r>
        <w:rPr/>
        <w:fldChar w:fldCharType="separate"/>
      </w:r>
      <w:bookmarkStart w:id="113" w:name="__Fieldmark__3085_1302293411"/>
      <w:r>
        <w:rPr/>
      </w:r>
      <w:r>
        <w:rPr/>
      </w:r>
      <w:r>
        <w:rPr/>
        <w:fldChar w:fldCharType="end"/>
      </w:r>
      <w:r>
        <w:fldChar w:fldCharType="begin"/>
      </w:r>
      <w:r>
        <w:rPr/>
        <w:instrText>ADDIN EN.CITE.DATA</w:instrText>
      </w:r>
      <w:r>
        <w:rPr/>
        <w:fldChar w:fldCharType="separate"/>
      </w:r>
      <w:bookmarkStart w:id="114" w:name="__Fieldmark__3084_1302293411"/>
      <w:bookmarkEnd w:id="113"/>
      <w:r>
        <w:rPr/>
      </w:r>
      <w:r>
        <w:rPr>
          <w:rFonts w:cs="Times New Roman" w:ascii="Times New Roman" w:hAnsi="Times New Roman"/>
          <w:sz w:val="24"/>
          <w:szCs w:val="24"/>
          <w:vertAlign w:val="superscript"/>
        </w:rPr>
        <w:t>[54]</w:t>
      </w:r>
      <w:r>
        <w:rPr/>
      </w:r>
      <w:r>
        <w:rPr/>
        <w:fldChar w:fldCharType="end"/>
      </w:r>
      <w:bookmarkEnd w:id="114"/>
      <w:r>
        <w:rPr>
          <w:rFonts w:cs="Times New Roman" w:ascii="Times New Roman" w:hAnsi="Times New Roman"/>
          <w:sz w:val="24"/>
          <w:szCs w:val="24"/>
        </w:rPr>
        <w:t xml:space="preserve"> . GDL is normally used as an acidifier and it was added to alginate SLG formulation in order to release more calcium ions from the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upon gradual hydrolysis of GDL to gluconic acid and therefore increase the mechanical properties of SLG formulation. Briefly, t</w:t>
      </w:r>
      <w:r>
        <w:rPr>
          <w:rFonts w:eastAsia="+mn-ea" w:cs="Times New Roman" w:ascii="Times New Roman" w:hAnsi="Times New Roman"/>
          <w:bCs/>
          <w:kern w:val="2"/>
          <w:sz w:val="24"/>
          <w:szCs w:val="24"/>
        </w:rPr>
        <w:t xml:space="preserve">o the SLG formulation, 106 µL of 0.06 M </w:t>
      </w:r>
      <w:r>
        <w:rPr>
          <w:rFonts w:cs="Times New Roman" w:ascii="Times New Roman" w:hAnsi="Times New Roman"/>
          <w:sz w:val="24"/>
          <w:szCs w:val="24"/>
        </w:rPr>
        <w:t>freshly-prepared GDL solution was added and mixed immediately.</w:t>
      </w:r>
      <w:r>
        <w:rPr>
          <w:rFonts w:eastAsia="+mn-ea" w:cs="Times New Roman" w:ascii="Times New Roman" w:hAnsi="Times New Roman"/>
          <w:bCs/>
          <w:kern w:val="2"/>
          <w:sz w:val="24"/>
          <w:szCs w:val="24"/>
        </w:rPr>
        <w:t xml:space="preserve"> </w:t>
      </w:r>
      <w:r>
        <w:rPr>
          <w:rFonts w:cs="Times New Roman" w:ascii="Times New Roman" w:hAnsi="Times New Roman"/>
          <w:sz w:val="24"/>
          <w:szCs w:val="24"/>
        </w:rPr>
        <w:t>GDL was used to dissolve minute amounts of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so that alginate can be crosslinked and increase the mechanical properties of the formulation. In parallel,</w:t>
      </w:r>
      <w:r>
        <w:rPr>
          <w:rFonts w:eastAsia="+mn-ea" w:cs="Times New Roman" w:ascii="Times New Roman" w:hAnsi="Times New Roman"/>
          <w:bCs/>
          <w:kern w:val="2"/>
          <w:sz w:val="24"/>
          <w:szCs w:val="24"/>
        </w:rPr>
        <w:t xml:space="preserve"> 106 µL of </w:t>
      </w:r>
      <w:r>
        <w:rPr>
          <w:rFonts w:cs="Times New Roman" w:ascii="Times New Roman" w:hAnsi="Times New Roman"/>
          <w:sz w:val="24"/>
          <w:szCs w:val="24"/>
        </w:rPr>
        <w:t xml:space="preserve">0.9% sodium chloride was added to the SLM formulation for which it was not necessary to add GDL as shown by rheology. The formulations were thoroughly mixed and immediately and incubated overnight at 4 °C to equilibrate. One day later, prepared formulations were mixed again prior to injection </w:t>
      </w:r>
      <w:r>
        <w:rPr>
          <w:rFonts w:cs="Times New Roman" w:ascii="Times New Roman" w:hAnsi="Times New Roman"/>
          <w:i/>
          <w:sz w:val="24"/>
          <w:szCs w:val="24"/>
        </w:rPr>
        <w:t>in vivo</w:t>
      </w:r>
      <w:r>
        <w:rPr>
          <w:rFonts w:cs="Times New Roman" w:ascii="Times New Roman" w:hAnsi="Times New Roman"/>
          <w:sz w:val="24"/>
          <w:szCs w:val="24"/>
        </w:rPr>
        <w:t xml:space="preserve"> or to use for </w:t>
      </w:r>
      <w:r>
        <w:rPr>
          <w:rFonts w:cs="Times New Roman" w:ascii="Times New Roman" w:hAnsi="Times New Roman"/>
          <w:i/>
          <w:sz w:val="24"/>
          <w:szCs w:val="24"/>
        </w:rPr>
        <w:t>in vitro</w:t>
      </w:r>
      <w:r>
        <w:rPr>
          <w:rFonts w:cs="Times New Roman" w:ascii="Times New Roman" w:hAnsi="Times New Roman"/>
          <w:sz w:val="24"/>
          <w:szCs w:val="24"/>
        </w:rPr>
        <w:t xml:space="preserve"> experiments. For both</w:t>
      </w:r>
      <w:r>
        <w:rPr>
          <w:rFonts w:cs="Times New Roman" w:ascii="Times New Roman" w:hAnsi="Times New Roman"/>
          <w:i/>
          <w:sz w:val="24"/>
          <w:szCs w:val="24"/>
        </w:rPr>
        <w:t xml:space="preserve"> in vivo</w:t>
      </w:r>
      <w:r>
        <w:rPr>
          <w:rFonts w:cs="Times New Roman" w:ascii="Times New Roman" w:hAnsi="Times New Roman"/>
          <w:sz w:val="24"/>
          <w:szCs w:val="24"/>
        </w:rPr>
        <w:t xml:space="preserve"> and </w:t>
      </w:r>
      <w:r>
        <w:rPr>
          <w:rFonts w:cs="Times New Roman" w:ascii="Times New Roman" w:hAnsi="Times New Roman"/>
          <w:i/>
          <w:sz w:val="24"/>
          <w:szCs w:val="24"/>
        </w:rPr>
        <w:t>in vitro</w:t>
      </w:r>
      <w:r>
        <w:rPr>
          <w:rFonts w:cs="Times New Roman" w:ascii="Times New Roman" w:hAnsi="Times New Roman"/>
          <w:sz w:val="24"/>
          <w:szCs w:val="24"/>
        </w:rPr>
        <w:t xml:space="preserve"> experiments 200 µL of the prepared formulations were used. The final amount of BMP-2 was 3.3 µg in each 200 µL hydrogel+RCP-MS formulation (Table 1). Solubilized Ca</w:t>
      </w:r>
      <w:r>
        <w:rPr>
          <w:rFonts w:cs="Times New Roman" w:ascii="Times New Roman" w:hAnsi="Times New Roman"/>
          <w:sz w:val="24"/>
          <w:szCs w:val="24"/>
          <w:vertAlign w:val="superscript"/>
        </w:rPr>
        <w:t xml:space="preserve">2+ </w:t>
      </w:r>
      <w:r>
        <w:rPr>
          <w:rFonts w:cs="Times New Roman" w:ascii="Times New Roman" w:hAnsi="Times New Roman"/>
          <w:sz w:val="24"/>
          <w:szCs w:val="24"/>
        </w:rPr>
        <w:t>ion as shown in µM and % in Table 1 was detected by calcium colorimetric assay following the manufacturer’s instructions (Sigma-Aldrich).</w:t>
      </w:r>
    </w:p>
    <w:p>
      <w:pPr>
        <w:pStyle w:val="Normal"/>
        <w:spacing w:lineRule="auto" w:line="480"/>
        <w:jc w:val="both"/>
        <w:rPr/>
      </w:pPr>
      <w:r>
        <w:rPr>
          <w:rFonts w:cs="Times New Roman" w:ascii="Times New Roman" w:hAnsi="Times New Roman"/>
          <w:sz w:val="24"/>
          <w:szCs w:val="24"/>
        </w:rPr>
        <w:t xml:space="preserve">The following formulations were used for </w:t>
      </w:r>
      <w:r>
        <w:rPr>
          <w:rFonts w:cs="Times New Roman" w:ascii="Times New Roman" w:hAnsi="Times New Roman"/>
          <w:i/>
          <w:sz w:val="24"/>
          <w:szCs w:val="24"/>
        </w:rPr>
        <w:t>in vitro</w:t>
      </w:r>
      <w:r>
        <w:rPr>
          <w:rFonts w:cs="Times New Roman" w:ascii="Times New Roman" w:hAnsi="Times New Roman"/>
          <w:sz w:val="24"/>
          <w:szCs w:val="24"/>
        </w:rPr>
        <w:t xml:space="preserve"> and </w:t>
      </w:r>
      <w:r>
        <w:rPr>
          <w:rFonts w:cs="Times New Roman" w:ascii="Times New Roman" w:hAnsi="Times New Roman"/>
          <w:i/>
          <w:sz w:val="24"/>
          <w:szCs w:val="24"/>
        </w:rPr>
        <w:t>in vivo</w:t>
      </w:r>
      <w:r>
        <w:rPr>
          <w:rFonts w:cs="Times New Roman" w:ascii="Times New Roman" w:hAnsi="Times New Roman"/>
          <w:sz w:val="24"/>
          <w:szCs w:val="24"/>
        </w:rPr>
        <w:t xml:space="preserve"> experiments. First, a 15% w/w solution of HApN was prepared in PBS. On the same day, 170 µL BMP-2 at 122.5 µg/mL concentration was added to 34 mg of RCP-MS (without CaCO</w:t>
      </w:r>
      <w:r>
        <w:rPr>
          <w:rFonts w:cs="Times New Roman" w:ascii="Times New Roman" w:hAnsi="Times New Roman"/>
          <w:sz w:val="24"/>
          <w:szCs w:val="24"/>
          <w:vertAlign w:val="subscript"/>
        </w:rPr>
        <w:t>3</w:t>
      </w:r>
      <w:r>
        <w:rPr>
          <w:rFonts w:cs="Times New Roman" w:ascii="Times New Roman" w:hAnsi="Times New Roman"/>
          <w:sz w:val="24"/>
          <w:szCs w:val="24"/>
        </w:rPr>
        <w:t>) and particles were incubated at 4 °C overnight. The next day, 850 µL HApN (15% w/w) and 270 µL PBS were added to the swollen particles and the formulation was mixed with a 1 mL syringe and 19 G needle. The composition of the final formulations is shown in Table 1. In order to keep the amount of RCP the same in all different formulations, half of the microspheres were used in HApN condition compared to SLM+RCP-MS or SLG+RCP-MS formulations that contained 50% CaCO</w:t>
      </w:r>
      <w:r>
        <w:rPr>
          <w:rFonts w:cs="Times New Roman" w:ascii="Times New Roman" w:hAnsi="Times New Roman"/>
          <w:sz w:val="24"/>
          <w:szCs w:val="24"/>
          <w:vertAlign w:val="subscript"/>
        </w:rPr>
        <w:t>3</w:t>
      </w:r>
      <w:r>
        <w:rPr>
          <w:rFonts w:cs="Times New Roman" w:ascii="Times New Roman" w:hAnsi="Times New Roman"/>
          <w:sz w:val="24"/>
          <w:szCs w:val="24"/>
        </w:rPr>
        <w:t xml:space="preserve"> and 50% RCP in the microspheres. The prepared formulations were mixed and incubated overnight at 4 °C to equilibrate. All formulations were prepared under sterile conditions. Biomineralization of the hydrogels formulations was not studied, since interactions between RCP-MS and hydrogels were not expected to change the mineralization properties of the formulation </w:t>
      </w:r>
      <w:r>
        <w:fldChar w:fldCharType="begin"/>
      </w:r>
      <w:r>
        <w:rPr/>
        <w:instrText>ADDIN EN.CITE</w:instrText>
      </w:r>
      <w:r>
        <w:rPr/>
        <w:fldChar w:fldCharType="separate"/>
      </w:r>
      <w:bookmarkStart w:id="115" w:name="__Fieldmark__3147_1302293411"/>
      <w:r>
        <w:rPr/>
      </w:r>
      <w:r>
        <w:rPr/>
      </w:r>
      <w:r>
        <w:rPr/>
        <w:fldChar w:fldCharType="end"/>
      </w:r>
      <w:r>
        <w:fldChar w:fldCharType="begin"/>
      </w:r>
      <w:r>
        <w:rPr/>
        <w:instrText>ADDIN EN.CITE.DATA</w:instrText>
      </w:r>
      <w:r>
        <w:rPr/>
        <w:fldChar w:fldCharType="separate"/>
      </w:r>
      <w:bookmarkStart w:id="116" w:name="__Fieldmark__3146_1302293411"/>
      <w:bookmarkEnd w:id="115"/>
      <w:r>
        <w:rPr/>
      </w:r>
      <w:r>
        <w:rPr>
          <w:rFonts w:cs="Calibri"/>
          <w:sz w:val="24"/>
          <w:szCs w:val="24"/>
          <w:vertAlign w:val="superscript"/>
        </w:rPr>
        <w:t>[10b, 12]</w:t>
      </w:r>
      <w:r>
        <w:rPr/>
      </w:r>
      <w:r>
        <w:rPr/>
        <w:fldChar w:fldCharType="end"/>
      </w:r>
      <w:bookmarkEnd w:id="116"/>
      <w:r>
        <w:rPr>
          <w:rFonts w:cs="Calibri"/>
          <w:sz w:val="24"/>
          <w:szCs w:val="24"/>
        </w:rPr>
        <w:t>.</w:t>
      </w:r>
    </w:p>
    <w:p>
      <w:pPr>
        <w:pStyle w:val="Subtitle"/>
        <w:spacing w:lineRule="auto" w:line="360"/>
        <w:jc w:val="both"/>
        <w:rPr>
          <w:rFonts w:ascii="Times New Roman" w:hAnsi="Times New Roman" w:cs="Times New Roman"/>
          <w:bCs/>
          <w:iCs w:val="false"/>
          <w:color w:val="000000" w:themeColor="text1"/>
          <w:spacing w:val="0"/>
          <w:sz w:val="24"/>
          <w:szCs w:val="28"/>
        </w:rPr>
      </w:pPr>
      <w:r>
        <w:rPr>
          <w:rFonts w:cs="Times New Roman" w:ascii="Times New Roman" w:hAnsi="Times New Roman"/>
          <w:bCs/>
          <w:iCs w:val="false"/>
          <w:color w:val="000000" w:themeColor="text1"/>
          <w:spacing w:val="0"/>
          <w:sz w:val="24"/>
          <w:szCs w:val="28"/>
        </w:rPr>
        <w:t xml:space="preserve">5.4. Characterization of the formulations. </w:t>
      </w:r>
    </w:p>
    <w:p>
      <w:pPr>
        <w:pStyle w:val="Normal"/>
        <w:spacing w:lineRule="auto" w:line="480" w:before="240" w:after="0"/>
        <w:jc w:val="both"/>
        <w:rPr>
          <w:rFonts w:ascii="Times New Roman" w:hAnsi="Times New Roman" w:cs="Times New Roman"/>
          <w:sz w:val="24"/>
          <w:szCs w:val="24"/>
        </w:rPr>
      </w:pPr>
      <w:r>
        <w:rPr>
          <w:rFonts w:cs="Times New Roman" w:ascii="Times New Roman" w:hAnsi="Times New Roman"/>
          <w:sz w:val="24"/>
          <w:szCs w:val="24"/>
        </w:rPr>
        <w:t xml:space="preserve">The mechanical properties of prepared hydrogels containing BMP-2 loaded microspheres were measured by a rheometer (Anton Paar MCR301, Austria). A </w:t>
      </w:r>
      <w:r>
        <w:rPr>
          <w:rFonts w:cs="Times New Roman" w:ascii="Times New Roman" w:hAnsi="Times New Roman"/>
          <w:color w:val="222222"/>
          <w:sz w:val="24"/>
          <w:szCs w:val="24"/>
          <w:shd w:fill="FFFFFF" w:val="clear"/>
        </w:rPr>
        <w:t>20 mm diameter parallel</w:t>
      </w:r>
      <w:r>
        <w:rPr>
          <w:rFonts w:cs="Times New Roman" w:ascii="Times New Roman" w:hAnsi="Times New Roman"/>
          <w:color w:val="222222"/>
          <w:sz w:val="24"/>
          <w:szCs w:val="24"/>
        </w:rPr>
        <w:t xml:space="preserve"> </w:t>
      </w:r>
      <w:r>
        <w:rPr>
          <w:rFonts w:cs="Times New Roman" w:ascii="Times New Roman" w:hAnsi="Times New Roman"/>
          <w:color w:val="222222"/>
          <w:sz w:val="24"/>
          <w:szCs w:val="24"/>
          <w:shd w:fill="FFFFFF" w:val="clear"/>
        </w:rPr>
        <w:t xml:space="preserve">plate measuring system was used. </w:t>
      </w:r>
      <w:r>
        <w:rPr>
          <w:rFonts w:cs="Times New Roman" w:ascii="Times New Roman" w:hAnsi="Times New Roman"/>
          <w:sz w:val="24"/>
          <w:szCs w:val="24"/>
        </w:rPr>
        <w:t>After sample addition to the plate, silicon oil was applied to the edges to prevent evaporation. All measurements were performed with a normal force of 0.1 N. As a pre-characterization, the storage (or elastic) modulus (G’) and loss (or viscous) modulus (G’’) were measured at different strains to determine the linear viscoelastic region. To determine the linear viscoelastic region in alginate formulations (shown in table S1) four different formulations were prepared. SLG alginate (1.5%, w/v); SLG alginate (1.5%, w/v) with microspheres (8%, w/v); SLG alginate (1.5%, w/v) with microspheres (8%, w/v) and GDL (5mM); and SLG alginate with CaCO</w:t>
      </w:r>
      <w:r>
        <w:rPr>
          <w:rFonts w:cs="Times New Roman" w:ascii="Times New Roman" w:hAnsi="Times New Roman"/>
          <w:sz w:val="24"/>
          <w:szCs w:val="24"/>
          <w:vertAlign w:val="subscript"/>
        </w:rPr>
        <w:t xml:space="preserve">3 </w:t>
      </w:r>
      <w:r>
        <w:rPr>
          <w:rFonts w:cs="Times New Roman" w:ascii="Times New Roman" w:hAnsi="Times New Roman"/>
          <w:sz w:val="24"/>
          <w:szCs w:val="24"/>
        </w:rPr>
        <w:t>(4%, w/v)</w:t>
      </w:r>
      <w:r>
        <w:rPr>
          <w:rFonts w:cs="Times New Roman" w:ascii="Times New Roman" w:hAnsi="Times New Roman"/>
          <w:sz w:val="24"/>
          <w:szCs w:val="24"/>
          <w:vertAlign w:val="subscript"/>
        </w:rPr>
        <w:t xml:space="preserve"> </w:t>
      </w:r>
      <w:r>
        <w:rPr>
          <w:rFonts w:cs="Times New Roman" w:ascii="Times New Roman" w:hAnsi="Times New Roman"/>
          <w:sz w:val="24"/>
          <w:szCs w:val="24"/>
        </w:rPr>
        <w:t>and GDL (5mM) were prepared. After pre-characterization, thermosensitive HApN+RCP-MS formulation was measured at 2% strain, at 1 Hz while heating from 15 °C to 40 °C followed by cooling from 40 °C to 15 °C.</w:t>
      </w:r>
    </w:p>
    <w:p>
      <w:pPr>
        <w:pStyle w:val="Normal"/>
        <w:spacing w:lineRule="auto" w:line="480" w:before="240" w:after="0"/>
        <w:jc w:val="both"/>
        <w:rPr>
          <w:rFonts w:ascii="Times New Roman" w:hAnsi="Times New Roman" w:cs="Times New Roman"/>
          <w:sz w:val="24"/>
          <w:szCs w:val="24"/>
        </w:rPr>
      </w:pPr>
      <w:r>
        <w:rPr>
          <w:rFonts w:cs="Times New Roman" w:ascii="Times New Roman" w:hAnsi="Times New Roman"/>
          <w:sz w:val="24"/>
          <w:szCs w:val="24"/>
        </w:rPr>
        <w:t>Alginate formulations were measured by a two-step repeating cycle. At the first step of the cycle, storage and loss moduli were measured at 1% strain, at 1 Hz, at 37 °C. At the second step, 500% strain, 1 Hz frequency, 37 °C temperature was applied. The cycle repeated four times to characterize thixotropic behavior. During the measurements, perturbations due to collisions and cantings of the particles were not observed.</w:t>
      </w:r>
    </w:p>
    <w:p>
      <w:pPr>
        <w:pStyle w:val="Normal"/>
        <w:spacing w:lineRule="auto" w:line="480"/>
        <w:rPr>
          <w:rFonts w:ascii="Times New Roman" w:hAnsi="Times New Roman" w:cs="Times New Roman"/>
          <w:sz w:val="24"/>
          <w:szCs w:val="24"/>
        </w:rPr>
      </w:pPr>
      <w:r>
        <w:rPr>
          <w:rFonts w:cs="Times New Roman" w:ascii="Times New Roman" w:hAnsi="Times New Roman"/>
          <w:sz w:val="24"/>
          <w:szCs w:val="24"/>
        </w:rPr>
        <w:t>The morphology of the formulations was investigated by using SEM. To prepare the samples prior to analysis, RCP-MS loaded hydrogels were immersed into liquid nitrogen and freeze-dried at −50°C. The cross-section of the formulations were sputter-coated with gold before loading onto the microscope.</w:t>
      </w:r>
    </w:p>
    <w:p>
      <w:pPr>
        <w:pStyle w:val="Subtitle"/>
        <w:spacing w:lineRule="auto" w:line="360"/>
        <w:jc w:val="both"/>
        <w:rPr>
          <w:rFonts w:ascii="Times New Roman" w:hAnsi="Times New Roman" w:cs="Times New Roman"/>
          <w:sz w:val="24"/>
        </w:rPr>
      </w:pPr>
      <w:r>
        <w:rPr>
          <w:rFonts w:cs="Times New Roman" w:ascii="Times New Roman" w:hAnsi="Times New Roman"/>
          <w:sz w:val="24"/>
        </w:rPr>
        <w:t>5.5. Release of BMP-2 from hydrogel formulations</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The formulations containing hydrogels and BMP-2 loaded microspheres were prepared as described above. 200 µL of hydrogel formulations was added to 24 well plate inserts with 0.4 µm pore size. 1 mL DMEM with 10% FBS and 1% P/S per well was added to the reservoir plate. The plates were incubated at 37 °C under constant agitation at 300 rpm. When removed from the incubator, the plates were put on a hot plate at 37 °C to prevent the gel-sol transition of HApN hydrogels. At each time point 1 mL medium was collected and changed with fresh medium. The collected release media were analyzed by rhBMP-2 ELISA development kit (Peprotech) according to manufacturer’s protocol. As a positive control, 200 µL of 16.5 µg/mL BMP-2 solution was added to the inserts and 1 mL medium was added to bottom wells of the transwell plate. At each time point 1 mL medium was collected and changed with fresh medium. The cumulative amount of BMP-2 that passed through the membrane to the bottom of the well after 14 days was quantified. This control was included in order to study the effect of protein sticking to the plate and membrane, as well as its degradation over time. At the end of the experiment (Day 14), 2.3 µg ± 0.1 µg (mean ± SD, n = 3) cumulative release was detected from the positive control which was 3.3 µg BMP-2 initially added to the inserts of the transwells.</w:t>
      </w:r>
      <w:r>
        <w:rPr>
          <w:rStyle w:val="Annotationreference"/>
          <w:rFonts w:cs="Times New Roman" w:ascii="Times New Roman" w:hAnsi="Times New Roman"/>
          <w:sz w:val="24"/>
          <w:szCs w:val="24"/>
          <w:lang w:val="en-GB"/>
        </w:rPr>
        <w:t xml:space="preserve"> </w:t>
      </w:r>
    </w:p>
    <w:p>
      <w:pPr>
        <w:pStyle w:val="Subtitle"/>
        <w:spacing w:lineRule="auto" w:line="360"/>
        <w:jc w:val="both"/>
        <w:rPr>
          <w:rFonts w:ascii="Times New Roman" w:hAnsi="Times New Roman" w:cs="Times New Roman"/>
          <w:sz w:val="24"/>
        </w:rPr>
      </w:pPr>
      <w:r>
        <w:rPr>
          <w:rFonts w:cs="Times New Roman" w:ascii="Times New Roman" w:hAnsi="Times New Roman"/>
          <w:sz w:val="24"/>
        </w:rPr>
        <w:t>5.6. Conditions for animal experiment</w:t>
      </w:r>
    </w:p>
    <w:p>
      <w:pPr>
        <w:pStyle w:val="Normal"/>
        <w:spacing w:lineRule="auto" w:line="480"/>
        <w:jc w:val="both"/>
        <w:rPr/>
      </w:pPr>
      <w:r>
        <w:rPr>
          <w:rFonts w:cs="Times New Roman" w:ascii="Times New Roman" w:hAnsi="Times New Roman"/>
          <w:bCs/>
          <w:sz w:val="24"/>
          <w:szCs w:val="24"/>
        </w:rPr>
        <w:t xml:space="preserve">All animal experiments were performed with prior approval of the ethics committee for laboratory animal use (protocol #EMC 116-15-01). To have a statistically relevant group size, we performed a power analysis with an alpha of 0.05 and power = 80 %. Based on similar works performed in an ectopic model using comparable cell-free systems </w:t>
      </w:r>
      <w:r>
        <w:fldChar w:fldCharType="begin"/>
      </w:r>
      <w:r>
        <w:rPr/>
        <w:instrText>ADDIN EN.CITE</w:instrText>
      </w:r>
      <w:r>
        <w:rPr/>
        <w:fldChar w:fldCharType="separate"/>
      </w:r>
      <w:bookmarkStart w:id="117" w:name="__Fieldmark__3223_1302293411"/>
      <w:r>
        <w:rPr/>
      </w:r>
      <w:r>
        <w:rPr/>
      </w:r>
      <w:r>
        <w:rPr/>
        <w:fldChar w:fldCharType="end"/>
      </w:r>
      <w:r>
        <w:fldChar w:fldCharType="begin"/>
      </w:r>
      <w:r>
        <w:rPr/>
        <w:instrText>ADDIN EN.CITE.DATA</w:instrText>
      </w:r>
      <w:r>
        <w:rPr/>
        <w:fldChar w:fldCharType="separate"/>
      </w:r>
      <w:bookmarkStart w:id="118" w:name="__Fieldmark__3222_1302293411"/>
      <w:bookmarkEnd w:id="117"/>
      <w:r>
        <w:rPr/>
      </w:r>
      <w:r>
        <w:rPr>
          <w:rFonts w:cs="Times New Roman" w:ascii="Times New Roman" w:hAnsi="Times New Roman"/>
          <w:bCs/>
          <w:sz w:val="24"/>
          <w:szCs w:val="24"/>
          <w:vertAlign w:val="superscript"/>
        </w:rPr>
        <w:t>[55]</w:t>
      </w:r>
      <w:r>
        <w:rPr/>
      </w:r>
      <w:r>
        <w:rPr/>
        <w:fldChar w:fldCharType="end"/>
      </w:r>
      <w:bookmarkEnd w:id="118"/>
      <w:r>
        <w:rPr>
          <w:rFonts w:cs="Times New Roman" w:ascii="Times New Roman" w:hAnsi="Times New Roman"/>
          <w:bCs/>
          <w:sz w:val="24"/>
          <w:szCs w:val="24"/>
        </w:rPr>
        <w:t>, we expected a difference in bone formation of approximately 25 mm</w:t>
      </w:r>
      <w:r>
        <w:rPr>
          <w:rFonts w:cs="Times New Roman" w:ascii="Times New Roman" w:hAnsi="Times New Roman"/>
          <w:bCs/>
          <w:sz w:val="24"/>
          <w:szCs w:val="24"/>
          <w:vertAlign w:val="superscript"/>
        </w:rPr>
        <w:t xml:space="preserve">3 </w:t>
      </w:r>
      <w:r>
        <w:rPr>
          <w:rFonts w:cs="Times New Roman" w:ascii="Times New Roman" w:hAnsi="Times New Roman"/>
          <w:bCs/>
          <w:sz w:val="24"/>
          <w:szCs w:val="24"/>
        </w:rPr>
        <w:t>and an SD of ± 15 mm</w:t>
      </w:r>
      <w:r>
        <w:rPr>
          <w:rFonts w:cs="Times New Roman" w:ascii="Times New Roman" w:hAnsi="Times New Roman"/>
          <w:bCs/>
          <w:sz w:val="24"/>
          <w:szCs w:val="24"/>
          <w:vertAlign w:val="superscript"/>
        </w:rPr>
        <w:t>3</w:t>
      </w:r>
      <w:r>
        <w:rPr>
          <w:rFonts w:cs="Times New Roman" w:ascii="Times New Roman" w:hAnsi="Times New Roman"/>
          <w:bCs/>
          <w:sz w:val="24"/>
          <w:szCs w:val="24"/>
        </w:rPr>
        <w:t>. Therefore, 34 male Sprague Dawley (SD) rats at 12 weeks old were used in this study to evaluate bone formation.</w:t>
      </w:r>
      <w:r>
        <w:rPr>
          <w:rFonts w:cs="Times New Roman" w:ascii="Times New Roman" w:hAnsi="Times New Roman"/>
          <w:sz w:val="24"/>
          <w:szCs w:val="24"/>
        </w:rPr>
        <w:t xml:space="preserve"> </w:t>
      </w:r>
      <w:r>
        <w:rPr>
          <w:rFonts w:cs="Times New Roman" w:ascii="Times New Roman" w:hAnsi="Times New Roman"/>
          <w:bCs/>
          <w:sz w:val="24"/>
          <w:szCs w:val="24"/>
        </w:rPr>
        <w:t>The animals were randomly assigned and housed in pairs in a specific pathogen-free environment and allowed to adapt to the conditions of the animal house for 7 days before starting the study. The animals were maintained at 20-26 °C on</w:t>
      </w:r>
      <w:r>
        <w:rPr>
          <w:rFonts w:cs="Times New Roman" w:ascii="Times New Roman" w:hAnsi="Times New Roman"/>
          <w:b/>
          <w:bCs/>
          <w:sz w:val="24"/>
          <w:szCs w:val="24"/>
        </w:rPr>
        <w:t xml:space="preserve"> </w:t>
      </w:r>
      <w:r>
        <w:rPr>
          <w:rFonts w:cs="Times New Roman" w:ascii="Times New Roman" w:hAnsi="Times New Roman"/>
          <w:bCs/>
          <w:sz w:val="24"/>
          <w:szCs w:val="24"/>
        </w:rPr>
        <w:t>a 12 h dark/light cycle with ad libitum access to standard rat chow and water.</w:t>
      </w:r>
      <w:r>
        <w:rPr>
          <w:rFonts w:cs="Times New Roman" w:ascii="Times New Roman" w:hAnsi="Times New Roman"/>
          <w:sz w:val="24"/>
          <w:szCs w:val="24"/>
        </w:rPr>
        <w:t xml:space="preserve"> </w:t>
      </w:r>
      <w:r>
        <w:rPr>
          <w:rFonts w:cs="Times New Roman" w:ascii="Times New Roman" w:hAnsi="Times New Roman"/>
          <w:bCs/>
          <w:sz w:val="24"/>
          <w:szCs w:val="24"/>
        </w:rPr>
        <w:t>To evaluate the effect of BMP-2 loaded in the different formulations,</w:t>
      </w:r>
      <w:r>
        <w:rPr>
          <w:rFonts w:cs="Times New Roman" w:ascii="Times New Roman" w:hAnsi="Times New Roman"/>
          <w:sz w:val="24"/>
          <w:szCs w:val="24"/>
        </w:rPr>
        <w:t xml:space="preserve"> RCP-MS with a constant concentration of rhBMP-2 (3 µg per injection) and incorporated in SLG, SLM or HApN hydrogels were subcutaneously injected (total volume 200 µl per injection) in the dorsum of the animals</w:t>
      </w:r>
      <w:r>
        <w:rPr>
          <w:rFonts w:cs="Times New Roman" w:ascii="Times New Roman" w:hAnsi="Times New Roman"/>
          <w:bCs/>
          <w:sz w:val="24"/>
          <w:szCs w:val="24"/>
        </w:rPr>
        <w:t xml:space="preserve">. As controls, SLM+RCP-MS, SLG+RCP-MS and HApN+RCP-MS </w:t>
      </w:r>
      <w:r>
        <w:rPr>
          <w:rFonts w:cs="Times New Roman" w:ascii="Times New Roman" w:hAnsi="Times New Roman"/>
          <w:sz w:val="24"/>
          <w:szCs w:val="24"/>
        </w:rPr>
        <w:t>were implanted without BMP-2 addition.</w:t>
      </w:r>
      <w:r>
        <w:rPr>
          <w:rFonts w:cs="Times New Roman" w:ascii="Times New Roman" w:hAnsi="Times New Roman"/>
          <w:bCs/>
          <w:sz w:val="24"/>
          <w:szCs w:val="24"/>
        </w:rPr>
        <w:t xml:space="preserve"> N = 6 replicates were used for each condition and each animal received 6 randomly assigned injections. All injections were performed using a 19 gauge needle on animals under isoflurane inhalation. At 1, 4 and 10 weeks after implantation, animals were euthanized with CO</w:t>
      </w:r>
      <w:r>
        <w:rPr>
          <w:rFonts w:cs="Times New Roman" w:ascii="Times New Roman" w:hAnsi="Times New Roman"/>
          <w:sz w:val="24"/>
          <w:szCs w:val="24"/>
          <w:vertAlign w:val="subscript"/>
        </w:rPr>
        <w:t>2</w:t>
      </w:r>
      <w:r>
        <w:rPr>
          <w:rFonts w:cs="Times New Roman" w:ascii="Times New Roman" w:hAnsi="Times New Roman"/>
          <w:bCs/>
          <w:sz w:val="24"/>
          <w:szCs w:val="24"/>
        </w:rPr>
        <w:t xml:space="preserve"> and the specimens were harvested for further analysis. To reduce the number of animals used in this study, controls were harvested at 1 and 10 weeks after implantation. </w:t>
      </w:r>
    </w:p>
    <w:p>
      <w:pPr>
        <w:pStyle w:val="Subtitle"/>
        <w:spacing w:lineRule="auto" w:line="360"/>
        <w:jc w:val="both"/>
        <w:rPr>
          <w:rFonts w:ascii="Times New Roman" w:hAnsi="Times New Roman" w:cs="Times New Roman"/>
          <w:sz w:val="24"/>
        </w:rPr>
      </w:pPr>
      <w:r>
        <w:rPr>
          <w:rFonts w:cs="Times New Roman" w:ascii="Times New Roman" w:hAnsi="Times New Roman"/>
          <w:sz w:val="24"/>
        </w:rPr>
        <w:t>5.7. Micro-CT analysis</w:t>
      </w:r>
    </w:p>
    <w:p>
      <w:pPr>
        <w:pStyle w:val="Normal"/>
        <w:spacing w:lineRule="auto" w:line="480"/>
        <w:jc w:val="both"/>
        <w:rPr>
          <w:rFonts w:ascii="Times New Roman" w:hAnsi="Times New Roman" w:cs="Times New Roman"/>
          <w:b/>
          <w:b/>
          <w:sz w:val="24"/>
          <w:szCs w:val="24"/>
        </w:rPr>
      </w:pPr>
      <w:r>
        <w:rPr>
          <w:rFonts w:cs="Times New Roman" w:ascii="Times New Roman" w:hAnsi="Times New Roman"/>
          <w:sz w:val="24"/>
          <w:szCs w:val="24"/>
        </w:rPr>
        <w:t>When animals were euthanized at 4 and 10 weeks following transplantation, retrieved implants were immediately scanned at a resolution of 9 µm, using a SkyScan 1172 system (Bruker, Belgium). The following settings were used: X-ray power and tube current were 40 kV and 0.25 mA, respectively. Exposure time was 5.9 s and an average of three pictures was taken at each angle (0.9°) to generate final images. These images were further reconstructed by SkyScan NRecon software (Bruker) using a range of 0-0.1 on the histogram scale, 20% beam-hardening correction and ring artefact reduction with a value of 5. For image processing SkyScan CTAnalyser software (Bruker) was used. Threshold levels of 120 (lower) and 255 (higher) were set to extract the amount of mineral volume from the tissue volume (BV/TV).</w:t>
      </w:r>
    </w:p>
    <w:p>
      <w:pPr>
        <w:pStyle w:val="Subtitle"/>
        <w:spacing w:lineRule="auto" w:line="360"/>
        <w:jc w:val="both"/>
        <w:rPr>
          <w:rFonts w:ascii="Times New Roman" w:hAnsi="Times New Roman" w:cs="Times New Roman"/>
          <w:sz w:val="24"/>
        </w:rPr>
      </w:pPr>
      <w:r>
        <w:rPr>
          <w:rFonts w:cs="Times New Roman" w:ascii="Times New Roman" w:hAnsi="Times New Roman"/>
          <w:sz w:val="24"/>
        </w:rPr>
        <w:t>5.8. Histology</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For histological examination, specimens were fixed in 4% formalin solution for 48 h and decalcified with 10% w/v EDTA for 2-4 weeks. Implants were dehydrated and embedded in paraffin. Sections of 6 µm thickness were prepared using a microtome and mounted on subbed glass slides (StarFrost, Knittel Glass, Germany). Three selected cross sections from each implant, with a minimum distance of 120 µm apart were deparaffinised and rinsed with distilled water to be stained with hematoxylin and eosin (H&amp;E). The sections were imaged by NanoZoomer-XR (Hamamatsu, Japan). A square grid (400-800 μm) overlay was used to quantify newly formed blood vessels, which were identified based on the presence of erythrocytes within a tubular-like structure. The number of blood vessels was counted within the implants in a blinded fashion by two examiners and averaged.</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CD68 marker was used to distinguish cells of the macrophage lineage, iNOS and CD206 markers were used for detection of M1 and M2 macrophage subsets. For detection of CD68, iNOS and CD206 positive cells, sections were deparaffinised and washed. In the case of CD68 and CD206, antigen retrieval was performed using a citrate buffer (10 mM, pH 6.0) at 90 ºC for 20 min. For iNOS, 10mM Tris, pH 9.0, 1 mM EDTA Solution, 0.05% v/v Tween 20 buffer was used. To avoid non-specific binding, slides were pre-incubated 30 min with 10% v/v normal goat serum (NGS) (Southern Biotech, USA) in PBS/1%BSA w/v and 2% w/v milk powder to block non-specific binding followed by 1 h incubation with either primary CD68 antibody (Acris, Germany) diluted to 0.5 μg/ml, primary CD206 antibody (Abcam, UK) diluted to 2.5 μg/ml or primary iNOS antibody (Abcam) diluted to 2 μg/ml. CD68 stained samples where then incubated for 30 min with biotinylated secondary goat anti-mouse antibody diluted 1:100 in PBS + 1% w/v BSA + 5% v/v rat serum (Jackson, PA, USA). For CD206 and iNOS staining, secondary biotin labeled goat anti-rabbit antibody (Biogenex, UK) diluted 1:50 in PBS+ 1% w/v BSA + 5% v/vrat serum was used. Finally, slides were incubated with label streptavidin-AP (Biogenex) diluted at 1:100, rinsed with 0.2 M Tris-HCl pH 8,5 and stained with substrate. Substrate consisted in 0,1 mg/ml New Fuchsin (Sigma-Aldrich), 0,3mg/ml naphtol AS-MX phosphate (Sigma-Aldrich), 0.0025% w/v NaNO</w:t>
      </w:r>
      <w:r>
        <w:rPr>
          <w:rFonts w:cs="Times New Roman" w:ascii="Times New Roman" w:hAnsi="Times New Roman"/>
          <w:sz w:val="24"/>
          <w:szCs w:val="24"/>
          <w:vertAlign w:val="subscript"/>
        </w:rPr>
        <w:t>2</w:t>
      </w:r>
      <w:r>
        <w:rPr>
          <w:rFonts w:cs="Times New Roman" w:ascii="Times New Roman" w:hAnsi="Times New Roman"/>
          <w:sz w:val="24"/>
          <w:szCs w:val="24"/>
        </w:rPr>
        <w:t xml:space="preserve"> (Sigma-Aldrich), 3% v/v di-methylformamide (Sigma-Aldrich) and 0,25 mg/ml levamisole (Sigma-Aldrich) dissolved in 0.2 M Tris-HCl (pH 8.5). Slides were counterstained with haematoxylin (Sigma-Aldrich) and analyzed using confocal microscope. Mouse IgG1 antibody (Dako Cytomation, Denmark) and rabbit IgG1 (Dako Cytomation) were used as negative controls.</w:t>
      </w:r>
    </w:p>
    <w:p>
      <w:pPr>
        <w:pStyle w:val="Normal"/>
        <w:spacing w:lineRule="auto" w:line="480"/>
        <w:jc w:val="both"/>
        <w:rPr/>
      </w:pPr>
      <w:r>
        <w:rPr>
          <w:rFonts w:cs="Times New Roman" w:ascii="Times New Roman" w:hAnsi="Times New Roman"/>
          <w:sz w:val="24"/>
          <w:szCs w:val="24"/>
        </w:rPr>
        <w:t xml:space="preserve">Type II collagen occurs exclusively in cartilage, therefore, to investigate the presence of cartilaginous tissue within the formulations, collagen II staining was performed on the samples as previously described </w:t>
      </w:r>
      <w:r>
        <w:fldChar w:fldCharType="begin"/>
      </w:r>
      <w:r>
        <w:rPr/>
        <w:instrText>ADDIN EN.CITE</w:instrText>
      </w:r>
      <w:r>
        <w:rPr/>
        <w:fldChar w:fldCharType="separate"/>
      </w:r>
      <w:bookmarkStart w:id="119" w:name="__Fieldmark__3278_1302293411"/>
      <w:r>
        <w:rPr/>
      </w:r>
      <w:r>
        <w:rPr/>
      </w:r>
      <w:r>
        <w:rPr/>
        <w:fldChar w:fldCharType="end"/>
      </w:r>
      <w:r>
        <w:fldChar w:fldCharType="begin"/>
      </w:r>
      <w:r>
        <w:rPr/>
        <w:instrText>ADDIN EN.CITE.DATA</w:instrText>
      </w:r>
      <w:r>
        <w:rPr/>
        <w:fldChar w:fldCharType="separate"/>
      </w:r>
      <w:bookmarkStart w:id="120" w:name="__Fieldmark__3277_1302293411"/>
      <w:bookmarkEnd w:id="119"/>
      <w:r>
        <w:rPr/>
      </w:r>
      <w:r>
        <w:rPr>
          <w:rFonts w:cs="Times New Roman" w:ascii="Times New Roman" w:hAnsi="Times New Roman"/>
          <w:sz w:val="24"/>
          <w:szCs w:val="24"/>
          <w:vertAlign w:val="superscript"/>
        </w:rPr>
        <w:t>[56]</w:t>
      </w:r>
      <w:r>
        <w:rPr/>
      </w:r>
      <w:r>
        <w:rPr/>
        <w:fldChar w:fldCharType="end"/>
      </w:r>
      <w:bookmarkEnd w:id="120"/>
      <w:r>
        <w:rPr>
          <w:rFonts w:cs="Times New Roman" w:ascii="Times New Roman" w:hAnsi="Times New Roman"/>
          <w:sz w:val="24"/>
          <w:szCs w:val="24"/>
        </w:rPr>
        <w:t>.</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 xml:space="preserve">After Nanozoomer-XR imaging Hamamatsu Photonics, all the retrieved implants were ranked for CD68, iNOS and CD206-positive cells in terms of both staining intensity and number of cells stained by two observers who scored all stainings and were blinded with regard to treatment. The results obtained by the two observers were averaged and rated on ordinal scale (lowest number = no/minor to highest number = moderate/heavy). </w:t>
      </w:r>
    </w:p>
    <w:p>
      <w:pPr>
        <w:pStyle w:val="Subtitle"/>
        <w:spacing w:lineRule="auto" w:line="360"/>
        <w:jc w:val="both"/>
        <w:rPr>
          <w:rFonts w:ascii="Times New Roman" w:hAnsi="Times New Roman" w:cs="Times New Roman"/>
          <w:sz w:val="24"/>
        </w:rPr>
      </w:pPr>
      <w:r>
        <w:rPr>
          <w:rFonts w:cs="Times New Roman" w:ascii="Times New Roman" w:hAnsi="Times New Roman"/>
          <w:sz w:val="24"/>
        </w:rPr>
        <w:t>5.9. Statistical analysis</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To investigate whether there were differences in the number of blood vessels and CD68, iNOS and CD206 positive cells between conditions, a Kruskal-Wallis test was applied and Dunn’s post-hoc was used for analysis. Micro-CT quantitative data and BMP-2 release data were analyzed using one-way analysis of variance and Bonferroni’s post-hoc multiple comparison test was applied to the obtained results. A value of P</w:t>
      </w:r>
      <w:r>
        <w:rPr>
          <w:rFonts w:cs="Times New Roman" w:ascii="Times New Roman" w:hAnsi="Times New Roman"/>
          <w:iCs/>
          <w:sz w:val="24"/>
          <w:szCs w:val="24"/>
        </w:rPr>
        <w:t xml:space="preserve"> </w:t>
      </w:r>
      <w:r>
        <w:rPr>
          <w:rFonts w:cs="Times New Roman" w:ascii="Times New Roman" w:hAnsi="Times New Roman"/>
          <w:sz w:val="24"/>
          <w:szCs w:val="24"/>
        </w:rPr>
        <w:t xml:space="preserve">&lt; 0.05 was considered to be statistically significant. </w:t>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t>Quantitative data are presented as bars, indicating the mean ± SD, while qualitative data are presented as box plots, indicating median, and the interquartile distance with the whiskers showing the largest and smallest values.</w:t>
      </w:r>
    </w:p>
    <w:p>
      <w:pPr>
        <w:pStyle w:val="Normal"/>
        <w:spacing w:lineRule="auto" w:line="240"/>
        <w:rPr>
          <w:rFonts w:ascii="Times New Roman" w:hAnsi="Times New Roman" w:cs="Times New Roman"/>
          <w:b/>
          <w:b/>
          <w:sz w:val="24"/>
        </w:rPr>
      </w:pPr>
      <w:r>
        <w:rPr>
          <w:rFonts w:cs="Times New Roman" w:ascii="Times New Roman" w:hAnsi="Times New Roman"/>
          <w:b/>
          <w:sz w:val="24"/>
        </w:rPr>
        <w:t>Supporting Information</w:t>
      </w:r>
    </w:p>
    <w:p>
      <w:pPr>
        <w:pStyle w:val="Normal"/>
        <w:spacing w:lineRule="auto" w:line="240"/>
        <w:rPr>
          <w:rFonts w:ascii="Times New Roman" w:hAnsi="Times New Roman" w:cs="Times New Roman"/>
          <w:sz w:val="24"/>
        </w:rPr>
      </w:pPr>
      <w:r>
        <w:rPr>
          <w:rFonts w:cs="Times New Roman" w:ascii="Times New Roman" w:hAnsi="Times New Roman"/>
          <w:sz w:val="24"/>
        </w:rPr>
        <w:t>Rheology, scanning electron microscopy, SDS-PAGE and collagen type II immunohistochemistry data are available in the Supporting Information.</w:t>
      </w:r>
    </w:p>
    <w:p>
      <w:pPr>
        <w:pStyle w:val="Normal"/>
        <w:spacing w:lineRule="auto" w:line="240"/>
        <w:rPr>
          <w:rFonts w:ascii="Times New Roman" w:hAnsi="Times New Roman" w:cs="Times New Roman"/>
          <w:sz w:val="24"/>
        </w:rPr>
      </w:pPr>
      <w:r>
        <w:rPr>
          <w:rFonts w:cs="Times New Roman" w:ascii="Times New Roman" w:hAnsi="Times New Roman"/>
          <w:sz w:val="24"/>
        </w:rPr>
      </w:r>
    </w:p>
    <w:p>
      <w:pPr>
        <w:pStyle w:val="Heading1"/>
        <w:numPr>
          <w:ilvl w:val="0"/>
          <w:numId w:val="0"/>
        </w:numPr>
        <w:spacing w:lineRule="auto" w:line="240"/>
        <w:ind w:left="357" w:hanging="357"/>
        <w:jc w:val="both"/>
        <w:rPr>
          <w:rFonts w:ascii="Times New Roman" w:hAnsi="Times New Roman" w:cs="Times New Roman"/>
          <w:szCs w:val="24"/>
        </w:rPr>
      </w:pPr>
      <w:r>
        <w:rPr>
          <w:rFonts w:cs="Times New Roman" w:ascii="Times New Roman" w:hAnsi="Times New Roman"/>
          <w:szCs w:val="24"/>
        </w:rPr>
        <w:t>Acknowledgments</w:t>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The authors would like to thank Dr. Joachim Nickel for his generous gift of BMP-2. The research leading to these results has received funding from the European Union Seventh Framework Programme FP7</w:t>
      </w:r>
      <w:r>
        <w:rPr>
          <w:rFonts w:cs="Cambria Math" w:ascii="Cambria Math" w:hAnsi="Cambria Math"/>
          <w:sz w:val="24"/>
          <w:szCs w:val="24"/>
        </w:rPr>
        <w:t>‐</w:t>
      </w:r>
      <w:r>
        <w:rPr>
          <w:rFonts w:cs="Times New Roman" w:ascii="Times New Roman" w:hAnsi="Times New Roman"/>
          <w:sz w:val="24"/>
          <w:szCs w:val="24"/>
        </w:rPr>
        <w:t>PEOPLE</w:t>
      </w:r>
      <w:r>
        <w:rPr>
          <w:rFonts w:cs="Cambria Math" w:ascii="Cambria Math" w:hAnsi="Cambria Math"/>
          <w:sz w:val="24"/>
          <w:szCs w:val="24"/>
        </w:rPr>
        <w:t>‐</w:t>
      </w:r>
      <w:r>
        <w:rPr>
          <w:rFonts w:cs="Times New Roman" w:ascii="Times New Roman" w:hAnsi="Times New Roman"/>
          <w:sz w:val="24"/>
          <w:szCs w:val="24"/>
        </w:rPr>
        <w:t>2013</w:t>
      </w:r>
      <w:r>
        <w:rPr>
          <w:rFonts w:cs="Cambria Math" w:ascii="Cambria Math" w:hAnsi="Cambria Math"/>
          <w:sz w:val="24"/>
          <w:szCs w:val="24"/>
        </w:rPr>
        <w:t>‐</w:t>
      </w:r>
      <w:r>
        <w:rPr>
          <w:rFonts w:cs="Times New Roman" w:ascii="Times New Roman" w:hAnsi="Times New Roman"/>
          <w:sz w:val="24"/>
          <w:szCs w:val="24"/>
        </w:rPr>
        <w:t>ITN under grant agreement n° 607051.</w:t>
      </w:r>
    </w:p>
    <w:p>
      <w:pPr>
        <w:pStyle w:val="Normal"/>
        <w:spacing w:lineRule="auto" w:line="360"/>
        <w:jc w:val="both"/>
        <w:rPr>
          <w:b/>
          <w:b/>
          <w:lang w:val="es-ES"/>
        </w:rPr>
      </w:pPr>
      <w:r>
        <w:rPr>
          <w:rFonts w:cs="Times New Roman" w:ascii="Times New Roman" w:hAnsi="Times New Roman"/>
          <w:b/>
          <w:sz w:val="24"/>
          <w:szCs w:val="24"/>
          <w:lang w:val="es-ES"/>
        </w:rPr>
        <w:t>References</w:t>
      </w:r>
    </w:p>
    <w:p>
      <w:pPr>
        <w:pStyle w:val="EndNoteBibliography"/>
        <w:spacing w:before="240" w:after="0"/>
        <w:rPr/>
      </w:pPr>
      <w:r>
        <w:fldChar w:fldCharType="begin"/>
      </w:r>
      <w:r>
        <w:rPr/>
        <w:instrText>ADDIN EN.REFLIST</w:instrText>
      </w:r>
      <w:r>
        <w:rPr/>
        <w:fldChar w:fldCharType="separate"/>
      </w:r>
      <w:bookmarkStart w:id="121" w:name="__Fieldmark__3321_1302293411"/>
      <w:r>
        <w:rPr/>
      </w:r>
      <w:r>
        <w:rPr>
          <w:lang w:val="es-ES"/>
        </w:rPr>
        <w:t>[1]</w:t>
        <w:tab/>
        <w:t xml:space="preserve">L. Polo-Corrales, M. Latorre-Esteves, J. E. Ramirez-Vick, </w:t>
      </w:r>
      <w:r>
        <w:rPr>
          <w:i/>
          <w:lang w:val="es-ES"/>
        </w:rPr>
        <w:t xml:space="preserve">J. Nanosci. </w:t>
      </w:r>
      <w:r>
        <w:rPr>
          <w:i/>
          <w:lang w:val="nl-NL"/>
        </w:rPr>
        <w:t xml:space="preserve">Nanotechnol. </w:t>
      </w:r>
      <w:r>
        <w:rPr>
          <w:b/>
          <w:lang w:val="nl-NL"/>
        </w:rPr>
        <w:t>2014</w:t>
      </w:r>
      <w:r>
        <w:rPr>
          <w:lang w:val="nl-NL"/>
        </w:rPr>
        <w:t xml:space="preserve">, </w:t>
      </w:r>
      <w:r>
        <w:rPr>
          <w:i/>
          <w:lang w:val="nl-NL"/>
        </w:rPr>
        <w:t>14</w:t>
      </w:r>
      <w:r>
        <w:rPr>
          <w:lang w:val="nl-NL"/>
        </w:rPr>
        <w:t>, 15.</w:t>
      </w:r>
      <w:r>
        <w:rPr>
          <w:lang w:val="nl-NL"/>
        </w:rPr>
      </w:r>
      <w:r>
        <w:rPr/>
        <w:fldChar w:fldCharType="end"/>
      </w:r>
      <w:bookmarkEnd w:id="121"/>
    </w:p>
    <w:p>
      <w:pPr>
        <w:pStyle w:val="EndNoteBibliography"/>
        <w:spacing w:before="240" w:after="0"/>
        <w:rPr>
          <w:lang w:val="nl-NL"/>
        </w:rPr>
      </w:pPr>
      <w:r>
        <w:rPr>
          <w:lang w:val="nl-NL"/>
        </w:rPr>
        <w:t>[2]</w:t>
        <w:tab/>
        <w:t xml:space="preserve">S. Van Vlierberghe, P. Dubruel, E. Schacht, </w:t>
      </w:r>
      <w:r>
        <w:rPr>
          <w:i/>
          <w:lang w:val="nl-NL"/>
        </w:rPr>
        <w:t xml:space="preserve">Biomacromolecules </w:t>
      </w:r>
      <w:r>
        <w:rPr>
          <w:b/>
          <w:lang w:val="nl-NL"/>
        </w:rPr>
        <w:t>2011</w:t>
      </w:r>
      <w:r>
        <w:rPr>
          <w:lang w:val="nl-NL"/>
        </w:rPr>
        <w:t xml:space="preserve">, </w:t>
      </w:r>
      <w:r>
        <w:rPr>
          <w:i/>
          <w:lang w:val="nl-NL"/>
        </w:rPr>
        <w:t>12</w:t>
      </w:r>
      <w:r>
        <w:rPr>
          <w:lang w:val="nl-NL"/>
        </w:rPr>
        <w:t>, 1387.</w:t>
      </w:r>
    </w:p>
    <w:p>
      <w:pPr>
        <w:pStyle w:val="EndNoteBibliography"/>
        <w:spacing w:before="240" w:after="0"/>
        <w:rPr>
          <w:lang w:val="nl-NL"/>
        </w:rPr>
      </w:pPr>
      <w:r>
        <w:rPr>
          <w:lang w:val="nl-NL"/>
        </w:rPr>
        <w:t>[3]</w:t>
        <w:tab/>
        <w:t xml:space="preserve">J. D. Kretlow, S. Young, L. Klouda, M. Wong, A. G. Mikos, </w:t>
      </w:r>
      <w:r>
        <w:rPr>
          <w:i/>
          <w:lang w:val="nl-NL"/>
        </w:rPr>
        <w:t xml:space="preserve">Adv Mater </w:t>
      </w:r>
      <w:r>
        <w:rPr>
          <w:b/>
          <w:lang w:val="nl-NL"/>
        </w:rPr>
        <w:t>2009</w:t>
      </w:r>
      <w:r>
        <w:rPr>
          <w:lang w:val="nl-NL"/>
        </w:rPr>
        <w:t xml:space="preserve">, </w:t>
      </w:r>
      <w:r>
        <w:rPr>
          <w:i/>
          <w:lang w:val="nl-NL"/>
        </w:rPr>
        <w:t>21</w:t>
      </w:r>
      <w:r>
        <w:rPr>
          <w:lang w:val="nl-NL"/>
        </w:rPr>
        <w:t>, 3368.</w:t>
      </w:r>
    </w:p>
    <w:p>
      <w:pPr>
        <w:pStyle w:val="EndNoteBibliography"/>
        <w:spacing w:before="240" w:after="0"/>
        <w:rPr/>
      </w:pPr>
      <w:r>
        <w:rPr/>
        <w:t>[4]</w:t>
        <w:tab/>
        <w:t xml:space="preserve">A. A. Amini, L. S. Nair, </w:t>
      </w:r>
      <w:r>
        <w:rPr>
          <w:i/>
        </w:rPr>
        <w:t xml:space="preserve">Biomed Mater </w:t>
      </w:r>
      <w:r>
        <w:rPr>
          <w:b/>
        </w:rPr>
        <w:t>2012</w:t>
      </w:r>
      <w:r>
        <w:rPr/>
        <w:t xml:space="preserve">, </w:t>
      </w:r>
      <w:r>
        <w:rPr>
          <w:i/>
        </w:rPr>
        <w:t>7</w:t>
      </w:r>
      <w:r>
        <w:rPr/>
        <w:t>, 024105.</w:t>
      </w:r>
    </w:p>
    <w:p>
      <w:pPr>
        <w:pStyle w:val="EndNoteBibliography"/>
        <w:spacing w:before="240" w:after="0"/>
        <w:rPr/>
      </w:pPr>
      <w:r>
        <w:rPr/>
        <w:t>[5]</w:t>
        <w:tab/>
        <w:t xml:space="preserve">a) J. W. Hustedt, D. J. Blizzard, </w:t>
      </w:r>
      <w:r>
        <w:rPr>
          <w:i/>
        </w:rPr>
        <w:t xml:space="preserve">Yale J Biol Med </w:t>
      </w:r>
      <w:r>
        <w:rPr>
          <w:b/>
        </w:rPr>
        <w:t>2014</w:t>
      </w:r>
      <w:r>
        <w:rPr/>
        <w:t xml:space="preserve">, </w:t>
      </w:r>
      <w:r>
        <w:rPr>
          <w:i/>
        </w:rPr>
        <w:t>87</w:t>
      </w:r>
      <w:r>
        <w:rPr/>
        <w:t xml:space="preserve">, 549; b) W. F. McKay, S. M. Peckham, J. M. Badura, </w:t>
      </w:r>
      <w:r>
        <w:rPr>
          <w:i/>
        </w:rPr>
        <w:t xml:space="preserve">Int Orthop </w:t>
      </w:r>
      <w:r>
        <w:rPr>
          <w:b/>
        </w:rPr>
        <w:t>2007</w:t>
      </w:r>
      <w:r>
        <w:rPr/>
        <w:t xml:space="preserve">, </w:t>
      </w:r>
      <w:r>
        <w:rPr>
          <w:i/>
        </w:rPr>
        <w:t>31</w:t>
      </w:r>
      <w:r>
        <w:rPr/>
        <w:t>, 729.</w:t>
      </w:r>
    </w:p>
    <w:p>
      <w:pPr>
        <w:pStyle w:val="EndNoteBibliography"/>
        <w:spacing w:before="240" w:after="0"/>
        <w:rPr/>
      </w:pPr>
      <w:r>
        <w:rPr/>
        <w:t>[6]</w:t>
        <w:tab/>
        <w:t xml:space="preserve">A. Valentin-Opran, J. Wozney, C. Csimma, L. Lilly, G. E. Riedel, </w:t>
      </w:r>
      <w:r>
        <w:rPr>
          <w:i/>
        </w:rPr>
        <w:t xml:space="preserve">Clin Orthop Relat Res </w:t>
      </w:r>
      <w:r>
        <w:rPr>
          <w:b/>
        </w:rPr>
        <w:t>2002</w:t>
      </w:r>
      <w:r>
        <w:rPr/>
        <w:t>, 110.</w:t>
      </w:r>
    </w:p>
    <w:p>
      <w:pPr>
        <w:pStyle w:val="EndNoteBibliography"/>
        <w:spacing w:before="240" w:after="0"/>
        <w:rPr/>
      </w:pPr>
      <w:r>
        <w:rPr/>
        <w:t>[7]</w:t>
        <w:tab/>
        <w:t xml:space="preserve">R. H. Li, J. M. Wozney, </w:t>
      </w:r>
      <w:r>
        <w:rPr>
          <w:i/>
        </w:rPr>
        <w:t xml:space="preserve">Trends Biotechnol. </w:t>
      </w:r>
      <w:r>
        <w:rPr>
          <w:b/>
        </w:rPr>
        <w:t>2001</w:t>
      </w:r>
      <w:r>
        <w:rPr/>
        <w:t xml:space="preserve">, </w:t>
      </w:r>
      <w:r>
        <w:rPr>
          <w:i/>
        </w:rPr>
        <w:t>19</w:t>
      </w:r>
      <w:r>
        <w:rPr/>
        <w:t>, 255.</w:t>
      </w:r>
    </w:p>
    <w:p>
      <w:pPr>
        <w:pStyle w:val="EndNoteBibliography"/>
        <w:spacing w:before="240" w:after="0"/>
        <w:rPr/>
      </w:pPr>
      <w:r>
        <w:rPr/>
        <w:t>[8]</w:t>
        <w:tab/>
        <w:t xml:space="preserve">B. Poon, T. Kha, S. Tran, C. R. Dass, </w:t>
      </w:r>
      <w:r>
        <w:rPr>
          <w:i/>
        </w:rPr>
        <w:t xml:space="preserve">J. Pharm. Pharmacol. </w:t>
      </w:r>
      <w:r>
        <w:rPr>
          <w:b/>
        </w:rPr>
        <w:t>2016</w:t>
      </w:r>
      <w:r>
        <w:rPr/>
        <w:t xml:space="preserve">, </w:t>
      </w:r>
      <w:r>
        <w:rPr>
          <w:i/>
        </w:rPr>
        <w:t>68</w:t>
      </w:r>
      <w:r>
        <w:rPr/>
        <w:t>, 139.</w:t>
      </w:r>
    </w:p>
    <w:p>
      <w:pPr>
        <w:pStyle w:val="EndNoteBibliography"/>
        <w:spacing w:before="240" w:after="0"/>
        <w:rPr/>
      </w:pPr>
      <w:r>
        <w:rPr/>
        <w:t>[9]</w:t>
        <w:tab/>
        <w:t xml:space="preserve">V. Agrawal, M. Sinha, </w:t>
      </w:r>
      <w:r>
        <w:rPr>
          <w:i/>
        </w:rPr>
        <w:t xml:space="preserve">J Biomed Mater Res B Appl Biomater </w:t>
      </w:r>
      <w:r>
        <w:rPr>
          <w:b/>
        </w:rPr>
        <w:t>2016</w:t>
      </w:r>
      <w:r>
        <w:rPr/>
        <w:t>, 10.1002/jbm.b.33599.</w:t>
      </w:r>
    </w:p>
    <w:p>
      <w:pPr>
        <w:pStyle w:val="EndNoteBibliography"/>
        <w:spacing w:before="240" w:after="0"/>
        <w:rPr/>
      </w:pPr>
      <w:r>
        <w:rPr/>
        <w:t>[10]</w:t>
        <w:tab/>
        <w:t xml:space="preserve">a) M. Parvizi, J. A. Plantinga, C. A. van Speuwel-Goossens, E. M. van Dongen, S. G. Kluijtmans, M. C. Harmsen, </w:t>
      </w:r>
      <w:r>
        <w:rPr>
          <w:i/>
        </w:rPr>
        <w:t xml:space="preserve">J Biomed Mater Res A </w:t>
      </w:r>
      <w:r>
        <w:rPr>
          <w:b/>
        </w:rPr>
        <w:t>2016</w:t>
      </w:r>
      <w:r>
        <w:rPr/>
        <w:t xml:space="preserve">, </w:t>
      </w:r>
      <w:r>
        <w:rPr>
          <w:i/>
        </w:rPr>
        <w:t>104</w:t>
      </w:r>
      <w:r>
        <w:rPr/>
        <w:t xml:space="preserve">, 503; b) G. B. Ramirez-Rodriguez, M. Montesi, S. Panseri, S. Sprio, A. Tampieri, M. Sandri, </w:t>
      </w:r>
      <w:r>
        <w:rPr>
          <w:i/>
        </w:rPr>
        <w:t xml:space="preserve">Tissue Eng Part A </w:t>
      </w:r>
      <w:r>
        <w:rPr>
          <w:b/>
        </w:rPr>
        <w:t>2017</w:t>
      </w:r>
      <w:r>
        <w:rPr/>
        <w:t xml:space="preserve">, </w:t>
      </w:r>
      <w:r>
        <w:rPr>
          <w:i/>
        </w:rPr>
        <w:t>23</w:t>
      </w:r>
      <w:r>
        <w:rPr/>
        <w:t xml:space="preserve">, 1423; c) D. Mumcuoglu, L. de Miguel, S. Jekhmane, C. Siverino, J. Nickel, T. D. Mueller, J. P. van Leeuwen, G. J. van Osch, S. G. Kluijtmans, </w:t>
      </w:r>
      <w:r>
        <w:rPr>
          <w:i/>
        </w:rPr>
        <w:t xml:space="preserve">Mater Sci Eng C Mater Biol Appl </w:t>
      </w:r>
      <w:r>
        <w:rPr>
          <w:b/>
        </w:rPr>
        <w:t>2018</w:t>
      </w:r>
      <w:r>
        <w:rPr/>
        <w:t xml:space="preserve">, </w:t>
      </w:r>
      <w:r>
        <w:rPr>
          <w:i/>
        </w:rPr>
        <w:t>84</w:t>
      </w:r>
      <w:r>
        <w:rPr/>
        <w:t>, 271.</w:t>
      </w:r>
    </w:p>
    <w:p>
      <w:pPr>
        <w:pStyle w:val="EndNoteBibliography"/>
        <w:spacing w:before="240" w:after="0"/>
        <w:rPr/>
      </w:pPr>
      <w:r>
        <w:rPr>
          <w:lang w:val="de-DE"/>
        </w:rPr>
        <w:t>[11]</w:t>
        <w:tab/>
        <w:t xml:space="preserve">J. Venkatesan, I. Bhatnagar, P. Manivasagan, K. H. Kang, S. K. Kim, </w:t>
      </w:r>
      <w:r>
        <w:rPr>
          <w:i/>
          <w:lang w:val="de-DE"/>
        </w:rPr>
        <w:t xml:space="preserve">Int. J. Biol. </w:t>
      </w:r>
      <w:r>
        <w:rPr>
          <w:i/>
        </w:rPr>
        <w:t xml:space="preserve">Macromol. </w:t>
      </w:r>
      <w:r>
        <w:rPr>
          <w:b/>
        </w:rPr>
        <w:t>2015</w:t>
      </w:r>
      <w:r>
        <w:rPr/>
        <w:t xml:space="preserve">, </w:t>
      </w:r>
      <w:r>
        <w:rPr>
          <w:i/>
        </w:rPr>
        <w:t>72</w:t>
      </w:r>
      <w:r>
        <w:rPr/>
        <w:t>, 269.</w:t>
      </w:r>
    </w:p>
    <w:p>
      <w:pPr>
        <w:pStyle w:val="EndNoteBibliography"/>
        <w:spacing w:before="240" w:after="0"/>
        <w:rPr/>
      </w:pPr>
      <w:r>
        <w:rPr/>
        <w:t>[12]</w:t>
        <w:tab/>
        <w:t xml:space="preserve">S. H. Bjornoy, S. Mandaric, D. C. Bassett, A. K. Slund, S. Ucar, J. P. Andreassen, B. L. Strand, P. Sikorski, </w:t>
      </w:r>
      <w:r>
        <w:rPr>
          <w:i/>
        </w:rPr>
        <w:t xml:space="preserve">Acta Biomater </w:t>
      </w:r>
      <w:r>
        <w:rPr>
          <w:b/>
        </w:rPr>
        <w:t>2016</w:t>
      </w:r>
      <w:r>
        <w:rPr/>
        <w:t xml:space="preserve">, </w:t>
      </w:r>
      <w:r>
        <w:rPr>
          <w:i/>
        </w:rPr>
        <w:t>44</w:t>
      </w:r>
      <w:r>
        <w:rPr/>
        <w:t>, 243.</w:t>
      </w:r>
    </w:p>
    <w:p>
      <w:pPr>
        <w:pStyle w:val="EndNoteBibliography"/>
        <w:spacing w:before="240" w:after="0"/>
        <w:rPr>
          <w:lang w:val="nl-NL"/>
        </w:rPr>
      </w:pPr>
      <w:r>
        <w:rPr>
          <w:lang w:val="nl-NL"/>
        </w:rPr>
        <w:t>[13]</w:t>
        <w:tab/>
        <w:t xml:space="preserve">J. Zhang, Q. Wang, A. Wang, </w:t>
      </w:r>
      <w:r>
        <w:rPr>
          <w:i/>
          <w:lang w:val="nl-NL"/>
        </w:rPr>
        <w:t xml:space="preserve">Acta Biomater </w:t>
      </w:r>
      <w:r>
        <w:rPr>
          <w:b/>
          <w:lang w:val="nl-NL"/>
        </w:rPr>
        <w:t>2010</w:t>
      </w:r>
      <w:r>
        <w:rPr>
          <w:lang w:val="nl-NL"/>
        </w:rPr>
        <w:t xml:space="preserve">, </w:t>
      </w:r>
      <w:r>
        <w:rPr>
          <w:i/>
          <w:lang w:val="nl-NL"/>
        </w:rPr>
        <w:t>6</w:t>
      </w:r>
      <w:r>
        <w:rPr>
          <w:lang w:val="nl-NL"/>
        </w:rPr>
        <w:t>, 445.</w:t>
      </w:r>
    </w:p>
    <w:p>
      <w:pPr>
        <w:pStyle w:val="EndNoteBibliography"/>
        <w:spacing w:before="240" w:after="0"/>
        <w:rPr>
          <w:lang w:val="nl-NL"/>
        </w:rPr>
      </w:pPr>
      <w:r>
        <w:rPr>
          <w:lang w:val="nl-NL"/>
        </w:rPr>
        <w:t>[14]</w:t>
        <w:tab/>
        <w:t xml:space="preserve">M. T. Poldervaart, H. Wang, J. van der Stok, H. Weinans, S. C. Leeuwenburgh, F. C. Oner, W. J. Dhert, J. Alblas, </w:t>
      </w:r>
      <w:r>
        <w:rPr>
          <w:i/>
          <w:lang w:val="nl-NL"/>
        </w:rPr>
        <w:t xml:space="preserve">PLoS One </w:t>
      </w:r>
      <w:r>
        <w:rPr>
          <w:b/>
          <w:lang w:val="nl-NL"/>
        </w:rPr>
        <w:t>2013</w:t>
      </w:r>
      <w:r>
        <w:rPr>
          <w:lang w:val="nl-NL"/>
        </w:rPr>
        <w:t xml:space="preserve">, </w:t>
      </w:r>
      <w:r>
        <w:rPr>
          <w:i/>
          <w:lang w:val="nl-NL"/>
        </w:rPr>
        <w:t>8</w:t>
      </w:r>
      <w:r>
        <w:rPr>
          <w:lang w:val="nl-NL"/>
        </w:rPr>
        <w:t>, e72610.</w:t>
      </w:r>
    </w:p>
    <w:p>
      <w:pPr>
        <w:pStyle w:val="EndNoteBibliography"/>
        <w:spacing w:before="240" w:after="0"/>
        <w:rPr>
          <w:lang w:val="es-ES"/>
        </w:rPr>
      </w:pPr>
      <w:r>
        <w:rPr>
          <w:lang w:val="es-ES"/>
        </w:rPr>
        <w:t>[15]</w:t>
        <w:tab/>
        <w:t xml:space="preserve">J. Sun, H. Tan, </w:t>
      </w:r>
      <w:r>
        <w:rPr>
          <w:i/>
          <w:lang w:val="es-ES"/>
        </w:rPr>
        <w:t xml:space="preserve">Materials </w:t>
      </w:r>
      <w:r>
        <w:rPr>
          <w:b/>
          <w:lang w:val="es-ES"/>
        </w:rPr>
        <w:t>2013</w:t>
      </w:r>
      <w:r>
        <w:rPr>
          <w:lang w:val="es-ES"/>
        </w:rPr>
        <w:t xml:space="preserve">, </w:t>
      </w:r>
      <w:r>
        <w:rPr>
          <w:i/>
          <w:lang w:val="es-ES"/>
        </w:rPr>
        <w:t>6</w:t>
      </w:r>
      <w:r>
        <w:rPr>
          <w:lang w:val="es-ES"/>
        </w:rPr>
        <w:t>, 1285.</w:t>
      </w:r>
    </w:p>
    <w:p>
      <w:pPr>
        <w:pStyle w:val="EndNoteBibliography"/>
        <w:spacing w:before="240" w:after="0"/>
        <w:rPr/>
      </w:pPr>
      <w:r>
        <w:rPr/>
        <w:t>[16]</w:t>
        <w:tab/>
        <w:t xml:space="preserve">S. K. Tam, J. Dusseault, S. Bilodeau, G. Langlois, J. P. Halle, L. Yahia, </w:t>
      </w:r>
      <w:r>
        <w:rPr>
          <w:i/>
        </w:rPr>
        <w:t xml:space="preserve">J Biomed Mater Res A </w:t>
      </w:r>
      <w:r>
        <w:rPr>
          <w:b/>
        </w:rPr>
        <w:t>2011</w:t>
      </w:r>
      <w:r>
        <w:rPr/>
        <w:t xml:space="preserve">, </w:t>
      </w:r>
      <w:r>
        <w:rPr>
          <w:i/>
        </w:rPr>
        <w:t>98</w:t>
      </w:r>
      <w:r>
        <w:rPr/>
        <w:t>, 40.</w:t>
      </w:r>
    </w:p>
    <w:p>
      <w:pPr>
        <w:pStyle w:val="EndNoteBibliography"/>
        <w:spacing w:before="240" w:after="0"/>
        <w:rPr/>
      </w:pPr>
      <w:r>
        <w:rPr/>
        <w:t>[17]</w:t>
        <w:tab/>
        <w:t xml:space="preserve">a) N. Zhao, X. Wang, L. Qin, M. Zhai, J. Yuan, J. Chen, D. Li, </w:t>
      </w:r>
      <w:r>
        <w:rPr>
          <w:i/>
        </w:rPr>
        <w:t xml:space="preserve">J Biomed Mater Res A </w:t>
      </w:r>
      <w:r>
        <w:rPr>
          <w:b/>
        </w:rPr>
        <w:t>2016</w:t>
      </w:r>
      <w:r>
        <w:rPr/>
        <w:t xml:space="preserve">, </w:t>
      </w:r>
      <w:r>
        <w:rPr>
          <w:i/>
        </w:rPr>
        <w:t>104</w:t>
      </w:r>
      <w:r>
        <w:rPr/>
        <w:t xml:space="preserve">, 1560; b) U. Maus, S. Andereya, S. Gravius, C. H. Siebert, J. A. Ohnsorge, C. Niedhart, </w:t>
      </w:r>
      <w:r>
        <w:rPr>
          <w:i/>
        </w:rPr>
        <w:t xml:space="preserve">Arch Orthop Trauma Surg </w:t>
      </w:r>
      <w:r>
        <w:rPr>
          <w:b/>
        </w:rPr>
        <w:t>2008</w:t>
      </w:r>
      <w:r>
        <w:rPr/>
        <w:t xml:space="preserve">, </w:t>
      </w:r>
      <w:r>
        <w:rPr>
          <w:i/>
        </w:rPr>
        <w:t>128</w:t>
      </w:r>
      <w:r>
        <w:rPr/>
        <w:t>, 1461.</w:t>
      </w:r>
    </w:p>
    <w:p>
      <w:pPr>
        <w:pStyle w:val="EndNoteBibliography"/>
        <w:spacing w:before="240" w:after="0"/>
        <w:rPr/>
      </w:pPr>
      <w:r>
        <w:rPr/>
        <w:t>[18]</w:t>
        <w:tab/>
        <w:t xml:space="preserve">E. Martinez-Sanz, D. A. Ossipov, J. Hilborn, S. Larsson, K. B. Jonsson, O. P. Varghese, </w:t>
      </w:r>
      <w:r>
        <w:rPr>
          <w:i/>
        </w:rPr>
        <w:t xml:space="preserve">J Control Release </w:t>
      </w:r>
      <w:r>
        <w:rPr>
          <w:b/>
        </w:rPr>
        <w:t>2011</w:t>
      </w:r>
      <w:r>
        <w:rPr/>
        <w:t xml:space="preserve">, </w:t>
      </w:r>
      <w:r>
        <w:rPr>
          <w:i/>
        </w:rPr>
        <w:t>152</w:t>
      </w:r>
      <w:r>
        <w:rPr/>
        <w:t>, 232.</w:t>
      </w:r>
    </w:p>
    <w:p>
      <w:pPr>
        <w:pStyle w:val="EndNoteBibliography"/>
        <w:spacing w:before="240" w:after="0"/>
        <w:rPr/>
      </w:pPr>
      <w:r>
        <w:rPr/>
        <w:t>[19]</w:t>
        <w:tab/>
        <w:t xml:space="preserve">M. Kisiel, M. M. Martino, M. Ventura, J. A. Hubbell, J. Hilborn, D. A. Ossipov, </w:t>
      </w:r>
      <w:r>
        <w:rPr>
          <w:i/>
        </w:rPr>
        <w:t xml:space="preserve">Biomaterials </w:t>
      </w:r>
      <w:r>
        <w:rPr>
          <w:b/>
        </w:rPr>
        <w:t>2013</w:t>
      </w:r>
      <w:r>
        <w:rPr/>
        <w:t xml:space="preserve">, </w:t>
      </w:r>
      <w:r>
        <w:rPr>
          <w:i/>
        </w:rPr>
        <w:t>34</w:t>
      </w:r>
      <w:r>
        <w:rPr/>
        <w:t>, 704.</w:t>
      </w:r>
    </w:p>
    <w:p>
      <w:pPr>
        <w:pStyle w:val="EndNoteBibliography"/>
        <w:spacing w:before="240" w:after="0"/>
        <w:rPr/>
      </w:pPr>
      <w:r>
        <w:rPr/>
        <w:t>[20]</w:t>
        <w:tab/>
        <w:t xml:space="preserve">G. Bhakta, B. Rai, Z. X. Lim, J. H. Hui, G. S. Stein, A. J. van Wijnen, V. Nurcombe, G. D. Prestwich, S. M. Cool, </w:t>
      </w:r>
      <w:r>
        <w:rPr>
          <w:i/>
        </w:rPr>
        <w:t xml:space="preserve">Biomaterials </w:t>
      </w:r>
      <w:r>
        <w:rPr>
          <w:b/>
        </w:rPr>
        <w:t>2012</w:t>
      </w:r>
      <w:r>
        <w:rPr/>
        <w:t xml:space="preserve">, </w:t>
      </w:r>
      <w:r>
        <w:rPr>
          <w:i/>
        </w:rPr>
        <w:t>33</w:t>
      </w:r>
      <w:r>
        <w:rPr/>
        <w:t>, 6113.</w:t>
      </w:r>
    </w:p>
    <w:p>
      <w:pPr>
        <w:pStyle w:val="EndNoteBibliography"/>
        <w:spacing w:before="240" w:after="0"/>
        <w:rPr/>
      </w:pPr>
      <w:r>
        <w:rPr/>
        <w:t>[21]</w:t>
        <w:tab/>
        <w:t xml:space="preserve">J. Kim, I. S. Kim, T. H. Cho, K. B. Lee, S. J. Hwang, G. Tae, I. Noh, S. H. Lee, Y. Park, K. Sun, </w:t>
      </w:r>
      <w:r>
        <w:rPr>
          <w:i/>
        </w:rPr>
        <w:t xml:space="preserve">Biomaterials </w:t>
      </w:r>
      <w:r>
        <w:rPr>
          <w:b/>
        </w:rPr>
        <w:t>2007</w:t>
      </w:r>
      <w:r>
        <w:rPr/>
        <w:t xml:space="preserve">, </w:t>
      </w:r>
      <w:r>
        <w:rPr>
          <w:i/>
        </w:rPr>
        <w:t>28</w:t>
      </w:r>
      <w:r>
        <w:rPr/>
        <w:t>, 1830.</w:t>
      </w:r>
    </w:p>
    <w:p>
      <w:pPr>
        <w:pStyle w:val="EndNoteBibliography"/>
        <w:spacing w:before="240" w:after="0"/>
        <w:rPr/>
      </w:pPr>
      <w:r>
        <w:rPr/>
        <w:t>[22]</w:t>
        <w:tab/>
        <w:t xml:space="preserve">M. D'Este, M. Alini, D. Eglin, </w:t>
      </w:r>
      <w:r>
        <w:rPr>
          <w:i/>
        </w:rPr>
        <w:t xml:space="preserve">Carbohydr. Polym. </w:t>
      </w:r>
      <w:r>
        <w:rPr>
          <w:b/>
        </w:rPr>
        <w:t>2012</w:t>
      </w:r>
      <w:r>
        <w:rPr/>
        <w:t xml:space="preserve">, </w:t>
      </w:r>
      <w:r>
        <w:rPr>
          <w:i/>
        </w:rPr>
        <w:t>90</w:t>
      </w:r>
      <w:r>
        <w:rPr/>
        <w:t>, 1378.</w:t>
      </w:r>
    </w:p>
    <w:p>
      <w:pPr>
        <w:pStyle w:val="EndNoteBibliography"/>
        <w:spacing w:before="240" w:after="0"/>
        <w:rPr>
          <w:lang w:val="de-DE"/>
        </w:rPr>
      </w:pPr>
      <w:r>
        <w:rPr/>
        <w:t>[23]</w:t>
        <w:tab/>
        <w:t xml:space="preserve">S. R. Van Tomme, G. Storm, W. E. Hennink, </w:t>
      </w:r>
      <w:r>
        <w:rPr>
          <w:i/>
        </w:rPr>
        <w:t xml:space="preserve">Int. J. Pharm. </w:t>
      </w:r>
      <w:r>
        <w:rPr>
          <w:b/>
          <w:lang w:val="de-DE"/>
        </w:rPr>
        <w:t>2008</w:t>
      </w:r>
      <w:r>
        <w:rPr>
          <w:lang w:val="de-DE"/>
        </w:rPr>
        <w:t xml:space="preserve">, </w:t>
      </w:r>
      <w:r>
        <w:rPr>
          <w:i/>
          <w:lang w:val="de-DE"/>
        </w:rPr>
        <w:t>355</w:t>
      </w:r>
      <w:r>
        <w:rPr>
          <w:lang w:val="de-DE"/>
        </w:rPr>
        <w:t>, 1.</w:t>
      </w:r>
    </w:p>
    <w:p>
      <w:pPr>
        <w:pStyle w:val="EndNoteBibliography"/>
        <w:spacing w:before="240" w:after="0"/>
        <w:rPr>
          <w:lang w:val="de-DE"/>
        </w:rPr>
      </w:pPr>
      <w:r>
        <w:rPr>
          <w:lang w:val="de-DE"/>
        </w:rPr>
        <w:t>[24]</w:t>
        <w:tab/>
        <w:t xml:space="preserve">Y. Hori, A. M. Winans, D. J. Irvine, </w:t>
      </w:r>
      <w:r>
        <w:rPr>
          <w:i/>
          <w:lang w:val="de-DE"/>
        </w:rPr>
        <w:t xml:space="preserve">Acta Biomater. </w:t>
      </w:r>
      <w:r>
        <w:rPr>
          <w:b/>
          <w:lang w:val="de-DE"/>
        </w:rPr>
        <w:t>2009</w:t>
      </w:r>
      <w:r>
        <w:rPr>
          <w:lang w:val="de-DE"/>
        </w:rPr>
        <w:t xml:space="preserve">, </w:t>
      </w:r>
      <w:r>
        <w:rPr>
          <w:i/>
          <w:lang w:val="de-DE"/>
        </w:rPr>
        <w:t>5</w:t>
      </w:r>
      <w:r>
        <w:rPr>
          <w:lang w:val="de-DE"/>
        </w:rPr>
        <w:t>, 969.</w:t>
      </w:r>
    </w:p>
    <w:p>
      <w:pPr>
        <w:pStyle w:val="EndNoteBibliography"/>
        <w:spacing w:before="240" w:after="0"/>
        <w:rPr>
          <w:lang w:val="de-DE"/>
        </w:rPr>
      </w:pPr>
      <w:r>
        <w:rPr>
          <w:lang w:val="de-DE"/>
        </w:rPr>
        <w:t>[25]</w:t>
        <w:tab/>
        <w:t xml:space="preserve">N. Moser, N. Lohse, J. Golstein, P. Kauffmann, B. Sven, M. Epple, H. Schliephake, </w:t>
      </w:r>
      <w:r>
        <w:rPr>
          <w:i/>
          <w:lang w:val="de-DE"/>
        </w:rPr>
        <w:t xml:space="preserve">Eur Cell Mater </w:t>
      </w:r>
      <w:r>
        <w:rPr>
          <w:b/>
          <w:lang w:val="de-DE"/>
        </w:rPr>
        <w:t>2017</w:t>
      </w:r>
      <w:r>
        <w:rPr>
          <w:lang w:val="de-DE"/>
        </w:rPr>
        <w:t xml:space="preserve">, </w:t>
      </w:r>
      <w:r>
        <w:rPr>
          <w:i/>
          <w:lang w:val="de-DE"/>
        </w:rPr>
        <w:t>34</w:t>
      </w:r>
      <w:r>
        <w:rPr>
          <w:lang w:val="de-DE"/>
        </w:rPr>
        <w:t>, 162.</w:t>
      </w:r>
    </w:p>
    <w:p>
      <w:pPr>
        <w:pStyle w:val="EndNoteBibliography"/>
        <w:spacing w:before="240" w:after="0"/>
        <w:rPr>
          <w:lang w:val="nl-NL"/>
        </w:rPr>
      </w:pPr>
      <w:r>
        <w:rPr>
          <w:lang w:val="nl-NL"/>
        </w:rPr>
        <w:t>[26]</w:t>
        <w:tab/>
        <w:t xml:space="preserve">S. Fahmy-Garcia, M. van Driel, J. Witte-Buoma, H. Walles, J. P. van Leeuwen, G. van Osch, E. Farrell, </w:t>
      </w:r>
      <w:r>
        <w:rPr>
          <w:i/>
          <w:lang w:val="nl-NL"/>
        </w:rPr>
        <w:t xml:space="preserve">Tissue Eng Part A </w:t>
      </w:r>
      <w:r>
        <w:rPr>
          <w:b/>
          <w:lang w:val="nl-NL"/>
        </w:rPr>
        <w:t>2017</w:t>
      </w:r>
      <w:r>
        <w:rPr>
          <w:lang w:val="nl-NL"/>
        </w:rPr>
        <w:t>, 10.1089/ten.TEA.2016.0537.</w:t>
      </w:r>
    </w:p>
    <w:p>
      <w:pPr>
        <w:pStyle w:val="EndNoteBibliography"/>
        <w:spacing w:before="240" w:after="0"/>
        <w:rPr>
          <w:lang w:val="nl-NL"/>
        </w:rPr>
      </w:pPr>
      <w:r>
        <w:rPr>
          <w:lang w:val="nl-NL"/>
        </w:rPr>
        <w:t>[27]</w:t>
        <w:tab/>
        <w:t xml:space="preserve">a) F. M. Chen, Y. M. Zhao, H. H. Sun, T. Jin, Q. T. Wang, W. Zhou, Z. F. Wu, Y. Jin, </w:t>
      </w:r>
      <w:r>
        <w:rPr>
          <w:i/>
          <w:lang w:val="nl-NL"/>
        </w:rPr>
        <w:t xml:space="preserve">J Control Release </w:t>
      </w:r>
      <w:r>
        <w:rPr>
          <w:b/>
          <w:lang w:val="nl-NL"/>
        </w:rPr>
        <w:t>2007</w:t>
      </w:r>
      <w:r>
        <w:rPr>
          <w:lang w:val="nl-NL"/>
        </w:rPr>
        <w:t xml:space="preserve">, </w:t>
      </w:r>
      <w:r>
        <w:rPr>
          <w:i/>
          <w:lang w:val="nl-NL"/>
        </w:rPr>
        <w:t>118</w:t>
      </w:r>
      <w:r>
        <w:rPr>
          <w:lang w:val="nl-NL"/>
        </w:rPr>
        <w:t xml:space="preserve">, 65; b) D. H. Kempen, L. Lu, T. E. Hefferan, L. B. Creemers, A. Maran, K. L. Classic, W. J. Dhert, M. J. Yaszemski, </w:t>
      </w:r>
      <w:r>
        <w:rPr>
          <w:i/>
          <w:lang w:val="nl-NL"/>
        </w:rPr>
        <w:t xml:space="preserve">Biomaterials </w:t>
      </w:r>
      <w:r>
        <w:rPr>
          <w:b/>
          <w:lang w:val="nl-NL"/>
        </w:rPr>
        <w:t>2008</w:t>
      </w:r>
      <w:r>
        <w:rPr>
          <w:lang w:val="nl-NL"/>
        </w:rPr>
        <w:t xml:space="preserve">, </w:t>
      </w:r>
      <w:r>
        <w:rPr>
          <w:i/>
          <w:lang w:val="nl-NL"/>
        </w:rPr>
        <w:t>29</w:t>
      </w:r>
      <w:r>
        <w:rPr>
          <w:lang w:val="nl-NL"/>
        </w:rPr>
        <w:t xml:space="preserve">, 3245; c) J. Lee, K. Y. Lee, </w:t>
      </w:r>
      <w:r>
        <w:rPr>
          <w:i/>
          <w:lang w:val="nl-NL"/>
        </w:rPr>
        <w:t xml:space="preserve">Macromol. Biosci. </w:t>
      </w:r>
      <w:r>
        <w:rPr>
          <w:b/>
          <w:lang w:val="nl-NL"/>
        </w:rPr>
        <w:t>2009</w:t>
      </w:r>
      <w:r>
        <w:rPr>
          <w:lang w:val="nl-NL"/>
        </w:rPr>
        <w:t xml:space="preserve">, </w:t>
      </w:r>
      <w:r>
        <w:rPr>
          <w:i/>
          <w:lang w:val="nl-NL"/>
        </w:rPr>
        <w:t>9</w:t>
      </w:r>
      <w:r>
        <w:rPr>
          <w:lang w:val="nl-NL"/>
        </w:rPr>
        <w:t xml:space="preserve">, 671; d) J. Yan, Y. Miao, H. Tan, T. Zhou, Z. Ling, Y. Chen, X. Xing, X. Hu, </w:t>
      </w:r>
      <w:r>
        <w:rPr>
          <w:i/>
          <w:lang w:val="nl-NL"/>
        </w:rPr>
        <w:t xml:space="preserve">Mater Sci Eng C Mater Biol Appl </w:t>
      </w:r>
      <w:r>
        <w:rPr>
          <w:b/>
          <w:lang w:val="nl-NL"/>
        </w:rPr>
        <w:t>2016</w:t>
      </w:r>
      <w:r>
        <w:rPr>
          <w:lang w:val="nl-NL"/>
        </w:rPr>
        <w:t xml:space="preserve">, </w:t>
      </w:r>
      <w:r>
        <w:rPr>
          <w:i/>
          <w:lang w:val="nl-NL"/>
        </w:rPr>
        <w:t>63</w:t>
      </w:r>
      <w:r>
        <w:rPr>
          <w:lang w:val="nl-NL"/>
        </w:rPr>
        <w:t>, 274.</w:t>
      </w:r>
    </w:p>
    <w:p>
      <w:pPr>
        <w:pStyle w:val="EndNoteBibliography"/>
        <w:spacing w:before="240" w:after="0"/>
        <w:rPr>
          <w:lang w:val="nl-NL"/>
        </w:rPr>
      </w:pPr>
      <w:r>
        <w:rPr>
          <w:lang w:val="nl-NL"/>
        </w:rPr>
        <w:t>[28]</w:t>
        <w:tab/>
        <w:t xml:space="preserve">a) S. Bord, A. Horner, R. M. Hembry, J. J. Reynolds, J. E. Compston, </w:t>
      </w:r>
      <w:r>
        <w:rPr>
          <w:i/>
          <w:lang w:val="nl-NL"/>
        </w:rPr>
        <w:t xml:space="preserve">Bone </w:t>
      </w:r>
      <w:r>
        <w:rPr>
          <w:b/>
          <w:lang w:val="nl-NL"/>
        </w:rPr>
        <w:t>1996</w:t>
      </w:r>
      <w:r>
        <w:rPr>
          <w:lang w:val="nl-NL"/>
        </w:rPr>
        <w:t xml:space="preserve">, </w:t>
      </w:r>
      <w:r>
        <w:rPr>
          <w:i/>
          <w:lang w:val="nl-NL"/>
        </w:rPr>
        <w:t>19</w:t>
      </w:r>
      <w:r>
        <w:rPr>
          <w:lang w:val="nl-NL"/>
        </w:rPr>
        <w:t xml:space="preserve">, 35; b) N. C. Partridge, H. W. Walling, S. R. Bloch, T. H. Omura, P. T. Chan, A. T. Pearman, W. Y. Chou, </w:t>
      </w:r>
      <w:r>
        <w:rPr>
          <w:i/>
          <w:lang w:val="nl-NL"/>
        </w:rPr>
        <w:t xml:space="preserve">Crit Rev Eukaryot Gene Expr </w:t>
      </w:r>
      <w:r>
        <w:rPr>
          <w:b/>
          <w:lang w:val="nl-NL"/>
        </w:rPr>
        <w:t>1996</w:t>
      </w:r>
      <w:r>
        <w:rPr>
          <w:lang w:val="nl-NL"/>
        </w:rPr>
        <w:t xml:space="preserve">, </w:t>
      </w:r>
      <w:r>
        <w:rPr>
          <w:i/>
          <w:lang w:val="nl-NL"/>
        </w:rPr>
        <w:t>6</w:t>
      </w:r>
      <w:r>
        <w:rPr>
          <w:lang w:val="nl-NL"/>
        </w:rPr>
        <w:t xml:space="preserve">, 15; c) R. Chiusaroli, A. Maier, M. C. Knight, M. Byrne, L. M. Calvi, R. Baron, S. M. Krane, E. Schipani, </w:t>
      </w:r>
      <w:r>
        <w:rPr>
          <w:i/>
          <w:lang w:val="nl-NL"/>
        </w:rPr>
        <w:t xml:space="preserve">Endocrinology </w:t>
      </w:r>
      <w:r>
        <w:rPr>
          <w:b/>
          <w:lang w:val="nl-NL"/>
        </w:rPr>
        <w:t>2003</w:t>
      </w:r>
      <w:r>
        <w:rPr>
          <w:lang w:val="nl-NL"/>
        </w:rPr>
        <w:t xml:space="preserve">, </w:t>
      </w:r>
      <w:r>
        <w:rPr>
          <w:i/>
          <w:lang w:val="nl-NL"/>
        </w:rPr>
        <w:t>144</w:t>
      </w:r>
      <w:r>
        <w:rPr>
          <w:lang w:val="nl-NL"/>
        </w:rPr>
        <w:t>, 4106.</w:t>
      </w:r>
    </w:p>
    <w:p>
      <w:pPr>
        <w:pStyle w:val="EndNoteBibliography"/>
        <w:spacing w:before="240" w:after="0"/>
        <w:rPr>
          <w:lang w:val="nl-NL"/>
        </w:rPr>
      </w:pPr>
      <w:r>
        <w:rPr>
          <w:lang w:val="nl-NL"/>
        </w:rPr>
        <w:t>[29]</w:t>
        <w:tab/>
        <w:t xml:space="preserve">J. H. Lee, J. Kim, H. R. Baek, K. M. Lee, J. H. Seo, H. K. Lee, A. Y. Lee, G. B. Zheng, B. S. Chang, C. K. Lee, </w:t>
      </w:r>
      <w:r>
        <w:rPr>
          <w:i/>
          <w:lang w:val="nl-NL"/>
        </w:rPr>
        <w:t xml:space="preserve">J Mater Sci Mater Med </w:t>
      </w:r>
      <w:r>
        <w:rPr>
          <w:b/>
          <w:lang w:val="nl-NL"/>
        </w:rPr>
        <w:t>2014</w:t>
      </w:r>
      <w:r>
        <w:rPr>
          <w:lang w:val="nl-NL"/>
        </w:rPr>
        <w:t xml:space="preserve">, </w:t>
      </w:r>
      <w:r>
        <w:rPr>
          <w:i/>
          <w:lang w:val="nl-NL"/>
        </w:rPr>
        <w:t>25</w:t>
      </w:r>
      <w:r>
        <w:rPr>
          <w:lang w:val="nl-NL"/>
        </w:rPr>
        <w:t>, 2141.</w:t>
      </w:r>
    </w:p>
    <w:p>
      <w:pPr>
        <w:pStyle w:val="EndNoteBibliography"/>
        <w:spacing w:before="240" w:after="0"/>
        <w:rPr>
          <w:lang w:val="nl-NL"/>
        </w:rPr>
      </w:pPr>
      <w:r>
        <w:rPr>
          <w:lang w:val="nl-NL"/>
        </w:rPr>
        <w:t>[30]</w:t>
        <w:tab/>
        <w:t xml:space="preserve">T. R. Cox, J. T. Erler, </w:t>
      </w:r>
      <w:r>
        <w:rPr>
          <w:i/>
          <w:lang w:val="nl-NL"/>
        </w:rPr>
        <w:t xml:space="preserve">Dis Model Mech </w:t>
      </w:r>
      <w:r>
        <w:rPr>
          <w:b/>
          <w:lang w:val="nl-NL"/>
        </w:rPr>
        <w:t>2011</w:t>
      </w:r>
      <w:r>
        <w:rPr>
          <w:lang w:val="nl-NL"/>
        </w:rPr>
        <w:t xml:space="preserve">, </w:t>
      </w:r>
      <w:r>
        <w:rPr>
          <w:i/>
          <w:lang w:val="nl-NL"/>
        </w:rPr>
        <w:t>4</w:t>
      </w:r>
      <w:r>
        <w:rPr>
          <w:lang w:val="nl-NL"/>
        </w:rPr>
        <w:t>, 165.</w:t>
      </w:r>
    </w:p>
    <w:p>
      <w:pPr>
        <w:pStyle w:val="EndNoteBibliography"/>
        <w:spacing w:before="240" w:after="0"/>
        <w:rPr>
          <w:lang w:val="nl-NL"/>
        </w:rPr>
      </w:pPr>
      <w:r>
        <w:rPr>
          <w:lang w:val="nl-NL"/>
        </w:rPr>
        <w:t>[31]</w:t>
        <w:tab/>
        <w:t xml:space="preserve">E. R. West, M. Xu, T. K. Woodruff, L. D. Shea, </w:t>
      </w:r>
      <w:r>
        <w:rPr>
          <w:i/>
          <w:lang w:val="nl-NL"/>
        </w:rPr>
        <w:t xml:space="preserve">Biomaterials </w:t>
      </w:r>
      <w:r>
        <w:rPr>
          <w:b/>
          <w:lang w:val="nl-NL"/>
        </w:rPr>
        <w:t>2007</w:t>
      </w:r>
      <w:r>
        <w:rPr>
          <w:lang w:val="nl-NL"/>
        </w:rPr>
        <w:t xml:space="preserve">, </w:t>
      </w:r>
      <w:r>
        <w:rPr>
          <w:i/>
          <w:lang w:val="nl-NL"/>
        </w:rPr>
        <w:t>28</w:t>
      </w:r>
      <w:r>
        <w:rPr>
          <w:lang w:val="nl-NL"/>
        </w:rPr>
        <w:t>, 4439.</w:t>
      </w:r>
    </w:p>
    <w:p>
      <w:pPr>
        <w:pStyle w:val="EndNoteBibliography"/>
        <w:spacing w:before="240" w:after="0"/>
        <w:rPr>
          <w:lang w:val="nl-NL"/>
        </w:rPr>
      </w:pPr>
      <w:r>
        <w:rPr>
          <w:lang w:val="nl-NL"/>
        </w:rPr>
        <w:t>[32]</w:t>
        <w:tab/>
        <w:t xml:space="preserve">A. Banerjee, M. Arha, S. Choudhary, R. S. Ashton, S. R. Bhatia, D. V. Schaffer, R. S. Kane, </w:t>
      </w:r>
      <w:r>
        <w:rPr>
          <w:i/>
          <w:lang w:val="nl-NL"/>
        </w:rPr>
        <w:t xml:space="preserve">Biomaterials </w:t>
      </w:r>
      <w:r>
        <w:rPr>
          <w:b/>
          <w:lang w:val="nl-NL"/>
        </w:rPr>
        <w:t>2009</w:t>
      </w:r>
      <w:r>
        <w:rPr>
          <w:lang w:val="nl-NL"/>
        </w:rPr>
        <w:t xml:space="preserve">, </w:t>
      </w:r>
      <w:r>
        <w:rPr>
          <w:i/>
          <w:lang w:val="nl-NL"/>
        </w:rPr>
        <w:t>30</w:t>
      </w:r>
      <w:r>
        <w:rPr>
          <w:lang w:val="nl-NL"/>
        </w:rPr>
        <w:t>, 4695.</w:t>
      </w:r>
    </w:p>
    <w:p>
      <w:pPr>
        <w:pStyle w:val="EndNoteBibliography"/>
        <w:spacing w:before="240" w:after="0"/>
        <w:rPr>
          <w:lang w:val="nl-NL"/>
        </w:rPr>
      </w:pPr>
      <w:r>
        <w:rPr>
          <w:lang w:val="nl-NL"/>
        </w:rPr>
        <w:t>[33]</w:t>
        <w:tab/>
        <w:t xml:space="preserve">R. Barbucci, S. Lamponi, A. Borzacchiello, L. Ambrosio, M. Fini, P. Torricelli, R. Giardino, </w:t>
      </w:r>
      <w:r>
        <w:rPr>
          <w:i/>
          <w:lang w:val="nl-NL"/>
        </w:rPr>
        <w:t xml:space="preserve">Biomaterials </w:t>
      </w:r>
      <w:r>
        <w:rPr>
          <w:b/>
          <w:lang w:val="nl-NL"/>
        </w:rPr>
        <w:t>2002</w:t>
      </w:r>
      <w:r>
        <w:rPr>
          <w:lang w:val="nl-NL"/>
        </w:rPr>
        <w:t xml:space="preserve">, </w:t>
      </w:r>
      <w:r>
        <w:rPr>
          <w:i/>
          <w:lang w:val="nl-NL"/>
        </w:rPr>
        <w:t>23</w:t>
      </w:r>
      <w:r>
        <w:rPr>
          <w:lang w:val="nl-NL"/>
        </w:rPr>
        <w:t>, 4503.</w:t>
      </w:r>
    </w:p>
    <w:p>
      <w:pPr>
        <w:pStyle w:val="EndNoteBibliography"/>
        <w:spacing w:before="240" w:after="0"/>
        <w:rPr>
          <w:lang w:val="nl-NL"/>
        </w:rPr>
      </w:pPr>
      <w:r>
        <w:rPr>
          <w:lang w:val="nl-NL"/>
        </w:rPr>
        <w:t>[34]</w:t>
        <w:tab/>
        <w:t xml:space="preserve">P. L. Leong, E. F. Morgan, </w:t>
      </w:r>
      <w:r>
        <w:rPr>
          <w:i/>
          <w:lang w:val="nl-NL"/>
        </w:rPr>
        <w:t xml:space="preserve">Acta Biomater </w:t>
      </w:r>
      <w:r>
        <w:rPr>
          <w:b/>
          <w:lang w:val="nl-NL"/>
        </w:rPr>
        <w:t>2008</w:t>
      </w:r>
      <w:r>
        <w:rPr>
          <w:lang w:val="nl-NL"/>
        </w:rPr>
        <w:t xml:space="preserve">, </w:t>
      </w:r>
      <w:r>
        <w:rPr>
          <w:i/>
          <w:lang w:val="nl-NL"/>
        </w:rPr>
        <w:t>4</w:t>
      </w:r>
      <w:r>
        <w:rPr>
          <w:lang w:val="nl-NL"/>
        </w:rPr>
        <w:t>, 1569.</w:t>
      </w:r>
    </w:p>
    <w:p>
      <w:pPr>
        <w:pStyle w:val="EndNoteBibliography"/>
        <w:spacing w:before="240" w:after="0"/>
        <w:rPr>
          <w:lang w:val="nl-NL"/>
        </w:rPr>
      </w:pPr>
      <w:r>
        <w:rPr>
          <w:lang w:val="nl-NL"/>
        </w:rPr>
        <w:t>[35]</w:t>
        <w:tab/>
        <w:t xml:space="preserve">H. Donnelly, C. A. Smith, P. E. Sweeten, N. Gadegaard, R. D. Meek, M. D'Este, A. Mata, D. Eglin, M. J. Dalby, </w:t>
      </w:r>
      <w:r>
        <w:rPr>
          <w:i/>
          <w:lang w:val="nl-NL"/>
        </w:rPr>
        <w:t xml:space="preserve">J Tissue Eng </w:t>
      </w:r>
      <w:r>
        <w:rPr>
          <w:b/>
          <w:lang w:val="nl-NL"/>
        </w:rPr>
        <w:t>2017</w:t>
      </w:r>
      <w:r>
        <w:rPr>
          <w:lang w:val="nl-NL"/>
        </w:rPr>
        <w:t xml:space="preserve">, </w:t>
      </w:r>
      <w:r>
        <w:rPr>
          <w:i/>
          <w:lang w:val="nl-NL"/>
        </w:rPr>
        <w:t>8</w:t>
      </w:r>
      <w:r>
        <w:rPr>
          <w:lang w:val="nl-NL"/>
        </w:rPr>
        <w:t>, 2041731417705615.</w:t>
      </w:r>
    </w:p>
    <w:p>
      <w:pPr>
        <w:pStyle w:val="EndNoteBibliography"/>
        <w:spacing w:before="240" w:after="0"/>
        <w:rPr>
          <w:lang w:val="de-DE"/>
        </w:rPr>
      </w:pPr>
      <w:r>
        <w:rPr>
          <w:lang w:val="de-DE"/>
        </w:rPr>
        <w:t>[36]</w:t>
        <w:tab/>
        <w:t xml:space="preserve">M. D'Este, C. M. Sprecher, S. Milz, D. Nehrbass, I. Dresing, S. Zeiter, M. Alini, D. Eglin, </w:t>
      </w:r>
      <w:r>
        <w:rPr>
          <w:i/>
          <w:lang w:val="de-DE"/>
        </w:rPr>
        <w:t xml:space="preserve">J Biomed Mater Res A </w:t>
      </w:r>
      <w:r>
        <w:rPr>
          <w:b/>
          <w:lang w:val="de-DE"/>
        </w:rPr>
        <w:t>2016</w:t>
      </w:r>
      <w:r>
        <w:rPr>
          <w:lang w:val="de-DE"/>
        </w:rPr>
        <w:t xml:space="preserve">, </w:t>
      </w:r>
      <w:r>
        <w:rPr>
          <w:i/>
          <w:lang w:val="de-DE"/>
        </w:rPr>
        <w:t>104</w:t>
      </w:r>
      <w:r>
        <w:rPr>
          <w:lang w:val="de-DE"/>
        </w:rPr>
        <w:t>, 1469.</w:t>
      </w:r>
    </w:p>
    <w:p>
      <w:pPr>
        <w:pStyle w:val="EndNoteBibliography"/>
        <w:spacing w:before="240" w:after="0"/>
        <w:rPr>
          <w:lang w:val="de-DE"/>
        </w:rPr>
      </w:pPr>
      <w:r>
        <w:rPr>
          <w:lang w:val="de-DE"/>
        </w:rPr>
        <w:t>[37]</w:t>
        <w:tab/>
        <w:t xml:space="preserve">K. Kaneko, C. Higuchi, Y. Kunugiza, K. Yoshida, T. Sakai, H. Yoshikawa, K. Nakata, </w:t>
      </w:r>
      <w:r>
        <w:rPr>
          <w:i/>
          <w:lang w:val="de-DE"/>
        </w:rPr>
        <w:t xml:space="preserve">FEBS Lett. </w:t>
      </w:r>
      <w:r>
        <w:rPr>
          <w:b/>
          <w:lang w:val="de-DE"/>
        </w:rPr>
        <w:t>2015</w:t>
      </w:r>
      <w:r>
        <w:rPr>
          <w:lang w:val="de-DE"/>
        </w:rPr>
        <w:t xml:space="preserve">, </w:t>
      </w:r>
      <w:r>
        <w:rPr>
          <w:i/>
          <w:lang w:val="de-DE"/>
        </w:rPr>
        <w:t>589</w:t>
      </w:r>
      <w:r>
        <w:rPr>
          <w:lang w:val="de-DE"/>
        </w:rPr>
        <w:t>, 447.</w:t>
      </w:r>
    </w:p>
    <w:p>
      <w:pPr>
        <w:pStyle w:val="EndNoteBibliography"/>
        <w:spacing w:before="240" w:after="0"/>
        <w:rPr>
          <w:lang w:val="de-DE"/>
        </w:rPr>
      </w:pPr>
      <w:r>
        <w:rPr>
          <w:lang w:val="de-DE"/>
        </w:rPr>
        <w:t>[38]</w:t>
        <w:tab/>
        <w:t xml:space="preserve">G. Bhakta, Z. X. Lim, B. Rai, T. Lin, J. H. Hui, G. D. Prestwich, A. J. van Wijnen, V. Nurcombe, S. M. Cool, </w:t>
      </w:r>
      <w:r>
        <w:rPr>
          <w:i/>
          <w:lang w:val="de-DE"/>
        </w:rPr>
        <w:t xml:space="preserve">Acta Biomater </w:t>
      </w:r>
      <w:r>
        <w:rPr>
          <w:b/>
          <w:lang w:val="de-DE"/>
        </w:rPr>
        <w:t>2013</w:t>
      </w:r>
      <w:r>
        <w:rPr>
          <w:lang w:val="de-DE"/>
        </w:rPr>
        <w:t xml:space="preserve">, </w:t>
      </w:r>
      <w:r>
        <w:rPr>
          <w:i/>
          <w:lang w:val="de-DE"/>
        </w:rPr>
        <w:t>9</w:t>
      </w:r>
      <w:r>
        <w:rPr>
          <w:lang w:val="de-DE"/>
        </w:rPr>
        <w:t>, 9098.</w:t>
      </w:r>
    </w:p>
    <w:p>
      <w:pPr>
        <w:pStyle w:val="EndNoteBibliography"/>
        <w:spacing w:before="240" w:after="0"/>
        <w:rPr>
          <w:lang w:val="de-DE"/>
        </w:rPr>
      </w:pPr>
      <w:r>
        <w:rPr>
          <w:lang w:val="de-DE"/>
        </w:rPr>
        <w:t>[39]</w:t>
        <w:tab/>
        <w:t xml:space="preserve">a) P. M. Mountziaris, P. P. Spicer, F. K. Kasper, A. G. Mikos, </w:t>
      </w:r>
      <w:r>
        <w:rPr>
          <w:i/>
          <w:lang w:val="de-DE"/>
        </w:rPr>
        <w:t xml:space="preserve">Tissue Eng Part B Rev </w:t>
      </w:r>
      <w:r>
        <w:rPr>
          <w:b/>
          <w:lang w:val="de-DE"/>
        </w:rPr>
        <w:t>2011</w:t>
      </w:r>
      <w:r>
        <w:rPr>
          <w:lang w:val="de-DE"/>
        </w:rPr>
        <w:t xml:space="preserve">, </w:t>
      </w:r>
      <w:r>
        <w:rPr>
          <w:i/>
          <w:lang w:val="de-DE"/>
        </w:rPr>
        <w:t>17</w:t>
      </w:r>
      <w:r>
        <w:rPr>
          <w:lang w:val="de-DE"/>
        </w:rPr>
        <w:t xml:space="preserve">, 393; b) S. Subramanian, A. Mitchell, W. L. Yu, S. Snyder, K. Uhrich, J. P. O'Connor, </w:t>
      </w:r>
      <w:r>
        <w:rPr>
          <w:i/>
          <w:lang w:val="de-DE"/>
        </w:rPr>
        <w:t xml:space="preserve">Tissue Eng., Part A </w:t>
      </w:r>
      <w:r>
        <w:rPr>
          <w:b/>
          <w:lang w:val="de-DE"/>
        </w:rPr>
        <w:t>2015</w:t>
      </w:r>
      <w:r>
        <w:rPr>
          <w:lang w:val="de-DE"/>
        </w:rPr>
        <w:t xml:space="preserve">, </w:t>
      </w:r>
      <w:r>
        <w:rPr>
          <w:i/>
          <w:lang w:val="de-DE"/>
        </w:rPr>
        <w:t>21</w:t>
      </w:r>
      <w:r>
        <w:rPr>
          <w:lang w:val="de-DE"/>
        </w:rPr>
        <w:t xml:space="preserve">, 2013; c) M. Yuasa, T. Yamada, T. Taniyama, T. Masaoka, W. Xuetao, T. Yoshii, M. Horie, H. Yasuda, T. Uemura, A. Okawa, S. Sotome, </w:t>
      </w:r>
      <w:r>
        <w:rPr>
          <w:i/>
          <w:lang w:val="de-DE"/>
        </w:rPr>
        <w:t xml:space="preserve">PLoS One </w:t>
      </w:r>
      <w:r>
        <w:rPr>
          <w:b/>
          <w:lang w:val="de-DE"/>
        </w:rPr>
        <w:t>2015</w:t>
      </w:r>
      <w:r>
        <w:rPr>
          <w:lang w:val="de-DE"/>
        </w:rPr>
        <w:t xml:space="preserve">, </w:t>
      </w:r>
      <w:r>
        <w:rPr>
          <w:i/>
          <w:lang w:val="de-DE"/>
        </w:rPr>
        <w:t>10</w:t>
      </w:r>
      <w:r>
        <w:rPr>
          <w:lang w:val="de-DE"/>
        </w:rPr>
        <w:t xml:space="preserve">, e0116462; d) J. Maciel, M. I. Oliveira, E. Colton, A. K. McNally, C. Oliveira, J. M. Anderson, M. A. Barbosa, </w:t>
      </w:r>
      <w:r>
        <w:rPr>
          <w:i/>
          <w:lang w:val="de-DE"/>
        </w:rPr>
        <w:t xml:space="preserve">Tissue Eng Part A </w:t>
      </w:r>
      <w:r>
        <w:rPr>
          <w:b/>
          <w:lang w:val="de-DE"/>
        </w:rPr>
        <w:t>2014</w:t>
      </w:r>
      <w:r>
        <w:rPr>
          <w:lang w:val="de-DE"/>
        </w:rPr>
        <w:t xml:space="preserve">, </w:t>
      </w:r>
      <w:r>
        <w:rPr>
          <w:i/>
          <w:lang w:val="de-DE"/>
        </w:rPr>
        <w:t>20</w:t>
      </w:r>
      <w:r>
        <w:rPr>
          <w:lang w:val="de-DE"/>
        </w:rPr>
        <w:t>, 250.</w:t>
      </w:r>
    </w:p>
    <w:p>
      <w:pPr>
        <w:pStyle w:val="EndNoteBibliography"/>
        <w:spacing w:before="240" w:after="0"/>
        <w:rPr>
          <w:lang w:val="de-DE"/>
        </w:rPr>
      </w:pPr>
      <w:r>
        <w:rPr>
          <w:lang w:val="nl-NL"/>
        </w:rPr>
        <w:t>[40]</w:t>
        <w:tab/>
        <w:t xml:space="preserve">a) N. Grotenhuis, S. F. De Witte, G. J. van Osch, Y. Bayon, J. F. Lange, Y. M. Bastiaansen-Jenniskens, </w:t>
      </w:r>
      <w:r>
        <w:rPr>
          <w:i/>
          <w:lang w:val="nl-NL"/>
        </w:rPr>
        <w:t xml:space="preserve">Tissue Eng Part A </w:t>
      </w:r>
      <w:r>
        <w:rPr>
          <w:b/>
          <w:lang w:val="nl-NL"/>
        </w:rPr>
        <w:t>2016</w:t>
      </w:r>
      <w:r>
        <w:rPr>
          <w:lang w:val="nl-NL"/>
        </w:rPr>
        <w:t xml:space="preserve">, </w:t>
      </w:r>
      <w:r>
        <w:rPr>
          <w:i/>
          <w:lang w:val="nl-NL"/>
        </w:rPr>
        <w:t>22</w:t>
      </w:r>
      <w:r>
        <w:rPr>
          <w:lang w:val="nl-NL"/>
        </w:rPr>
        <w:t xml:space="preserve">, 1098; b) Z. Chen, C. Wu, W. Gu, T. Klein, R. Crawford, Y. Xiao, </w:t>
      </w:r>
      <w:r>
        <w:rPr>
          <w:i/>
          <w:lang w:val="nl-NL"/>
        </w:rPr>
        <w:t xml:space="preserve">Biomaterials </w:t>
      </w:r>
      <w:r>
        <w:rPr>
          <w:b/>
          <w:lang w:val="nl-NL"/>
        </w:rPr>
        <w:t>2014</w:t>
      </w:r>
      <w:r>
        <w:rPr>
          <w:lang w:val="nl-NL"/>
        </w:rPr>
        <w:t xml:space="preserve">, </w:t>
      </w:r>
      <w:r>
        <w:rPr>
          <w:i/>
          <w:lang w:val="nl-NL"/>
        </w:rPr>
        <w:t>35</w:t>
      </w:r>
      <w:r>
        <w:rPr>
          <w:lang w:val="nl-NL"/>
        </w:rPr>
        <w:t xml:space="preserve">, 1507; c) N. Grotenhuis, Y. Bayon, J. F. Lange, G. J. Van Osch, Y. M. Bastiaansen-Jenniskens, </w:t>
      </w:r>
      <w:r>
        <w:rPr>
          <w:i/>
          <w:lang w:val="nl-NL"/>
        </w:rPr>
        <w:t xml:space="preserve">Biochem. </w:t>
      </w:r>
      <w:r>
        <w:rPr>
          <w:i/>
        </w:rPr>
        <w:t xml:space="preserve">Biophys. Res. Commun. </w:t>
      </w:r>
      <w:r>
        <w:rPr>
          <w:b/>
        </w:rPr>
        <w:t>2013</w:t>
      </w:r>
      <w:r>
        <w:rPr/>
        <w:t xml:space="preserve">, </w:t>
      </w:r>
      <w:r>
        <w:rPr>
          <w:i/>
        </w:rPr>
        <w:t>433</w:t>
      </w:r>
      <w:r>
        <w:rPr/>
        <w:t xml:space="preserve">, 115; d) H. He, S. Zhang, S. Tighe, J. Son, S. C. Tseng, </w:t>
      </w:r>
      <w:r>
        <w:rPr>
          <w:i/>
        </w:rPr>
        <w:t xml:space="preserve">J. Biol. </w:t>
      </w:r>
      <w:r>
        <w:rPr>
          <w:i/>
          <w:lang w:val="de-DE"/>
        </w:rPr>
        <w:t xml:space="preserve">Chem. </w:t>
      </w:r>
      <w:r>
        <w:rPr>
          <w:b/>
          <w:lang w:val="de-DE"/>
        </w:rPr>
        <w:t>2013</w:t>
      </w:r>
      <w:r>
        <w:rPr>
          <w:lang w:val="de-DE"/>
        </w:rPr>
        <w:t xml:space="preserve">, </w:t>
      </w:r>
      <w:r>
        <w:rPr>
          <w:i/>
          <w:lang w:val="de-DE"/>
        </w:rPr>
        <w:t>288</w:t>
      </w:r>
      <w:r>
        <w:rPr>
          <w:lang w:val="de-DE"/>
        </w:rPr>
        <w:t xml:space="preserve">, 25792; e) C. C. Lin, A. T. Metters, K. S. Anseth, </w:t>
      </w:r>
      <w:r>
        <w:rPr>
          <w:i/>
          <w:lang w:val="de-DE"/>
        </w:rPr>
        <w:t xml:space="preserve">Biomaterials </w:t>
      </w:r>
      <w:r>
        <w:rPr>
          <w:b/>
          <w:lang w:val="de-DE"/>
        </w:rPr>
        <w:t>2009</w:t>
      </w:r>
      <w:r>
        <w:rPr>
          <w:lang w:val="de-DE"/>
        </w:rPr>
        <w:t xml:space="preserve">, </w:t>
      </w:r>
      <w:r>
        <w:rPr>
          <w:i/>
          <w:lang w:val="de-DE"/>
        </w:rPr>
        <w:t>30</w:t>
      </w:r>
      <w:r>
        <w:rPr>
          <w:lang w:val="de-DE"/>
        </w:rPr>
        <w:t>, 4907.</w:t>
      </w:r>
    </w:p>
    <w:p>
      <w:pPr>
        <w:pStyle w:val="EndNoteBibliography"/>
        <w:spacing w:before="240" w:after="0"/>
        <w:rPr>
          <w:lang w:val="de-DE"/>
        </w:rPr>
      </w:pPr>
      <w:r>
        <w:rPr>
          <w:lang w:val="de-DE"/>
        </w:rPr>
        <w:t>[41]</w:t>
        <w:tab/>
        <w:t xml:space="preserve">a) J. N. Zara, R. K. Siu, X. Zhang, J. Shen, R. Ngo, M. Lee, W. Li, M. Chiang, J. Chung, J. Kwak, B. M. Wu, K. Ting, C. Soo, </w:t>
      </w:r>
      <w:r>
        <w:rPr>
          <w:i/>
          <w:lang w:val="de-DE"/>
        </w:rPr>
        <w:t xml:space="preserve">Tissue Eng Part A </w:t>
      </w:r>
      <w:r>
        <w:rPr>
          <w:b/>
          <w:lang w:val="de-DE"/>
        </w:rPr>
        <w:t>2011</w:t>
      </w:r>
      <w:r>
        <w:rPr>
          <w:lang w:val="de-DE"/>
        </w:rPr>
        <w:t xml:space="preserve">, </w:t>
      </w:r>
      <w:r>
        <w:rPr>
          <w:i/>
          <w:lang w:val="de-DE"/>
        </w:rPr>
        <w:t>17</w:t>
      </w:r>
      <w:r>
        <w:rPr>
          <w:lang w:val="de-DE"/>
        </w:rPr>
        <w:t xml:space="preserve">, 1389; b) K. B. Lee, C. E. Taghavi, K. J. Song, C. Sintuu, J. H. Yoo, G. Keorochana, S. T. Tzeng, Z. Fei, J. C. Liao, J. C. Wang, </w:t>
      </w:r>
      <w:r>
        <w:rPr>
          <w:i/>
          <w:lang w:val="de-DE"/>
        </w:rPr>
        <w:t xml:space="preserve">Spine (Phila Pa 1976) </w:t>
      </w:r>
      <w:r>
        <w:rPr>
          <w:b/>
          <w:lang w:val="de-DE"/>
        </w:rPr>
        <w:t>2011</w:t>
      </w:r>
      <w:r>
        <w:rPr>
          <w:lang w:val="de-DE"/>
        </w:rPr>
        <w:t xml:space="preserve">, </w:t>
      </w:r>
      <w:r>
        <w:rPr>
          <w:i/>
          <w:lang w:val="de-DE"/>
        </w:rPr>
        <w:t>36</w:t>
      </w:r>
      <w:r>
        <w:rPr>
          <w:lang w:val="de-DE"/>
        </w:rPr>
        <w:t xml:space="preserve">, E149; c) L. B. Shields, G. H. Raque, S. D. Glassman, M. Campbell, T. Vitaz, J. Harpring, C. B. Shields, </w:t>
      </w:r>
      <w:r>
        <w:rPr>
          <w:i/>
          <w:lang w:val="de-DE"/>
        </w:rPr>
        <w:t xml:space="preserve">Spine (Phila Pa 1976) </w:t>
      </w:r>
      <w:r>
        <w:rPr>
          <w:b/>
          <w:lang w:val="de-DE"/>
        </w:rPr>
        <w:t>2006</w:t>
      </w:r>
      <w:r>
        <w:rPr>
          <w:lang w:val="de-DE"/>
        </w:rPr>
        <w:t xml:space="preserve">, </w:t>
      </w:r>
      <w:r>
        <w:rPr>
          <w:i/>
          <w:lang w:val="de-DE"/>
        </w:rPr>
        <w:t>31</w:t>
      </w:r>
      <w:r>
        <w:rPr>
          <w:lang w:val="de-DE"/>
        </w:rPr>
        <w:t xml:space="preserve">, 542; d) C. A. Tannoury, H. S. An, </w:t>
      </w:r>
      <w:r>
        <w:rPr>
          <w:i/>
          <w:lang w:val="de-DE"/>
        </w:rPr>
        <w:t xml:space="preserve">Spine J </w:t>
      </w:r>
      <w:r>
        <w:rPr>
          <w:b/>
          <w:lang w:val="de-DE"/>
        </w:rPr>
        <w:t>2014</w:t>
      </w:r>
      <w:r>
        <w:rPr>
          <w:lang w:val="de-DE"/>
        </w:rPr>
        <w:t xml:space="preserve">, </w:t>
      </w:r>
      <w:r>
        <w:rPr>
          <w:i/>
          <w:lang w:val="de-DE"/>
        </w:rPr>
        <w:t>14</w:t>
      </w:r>
      <w:r>
        <w:rPr>
          <w:lang w:val="de-DE"/>
        </w:rPr>
        <w:t xml:space="preserve">, 552; e) E. J. Carragee, E. L. Hurwitz, B. K. Weiner, </w:t>
      </w:r>
      <w:r>
        <w:rPr>
          <w:i/>
          <w:lang w:val="de-DE"/>
        </w:rPr>
        <w:t xml:space="preserve">Spine J </w:t>
      </w:r>
      <w:r>
        <w:rPr>
          <w:b/>
          <w:lang w:val="de-DE"/>
        </w:rPr>
        <w:t>2011</w:t>
      </w:r>
      <w:r>
        <w:rPr>
          <w:lang w:val="de-DE"/>
        </w:rPr>
        <w:t xml:space="preserve">, </w:t>
      </w:r>
      <w:r>
        <w:rPr>
          <w:i/>
          <w:lang w:val="de-DE"/>
        </w:rPr>
        <w:t>11</w:t>
      </w:r>
      <w:r>
        <w:rPr>
          <w:lang w:val="de-DE"/>
        </w:rPr>
        <w:t>, 471.</w:t>
      </w:r>
    </w:p>
    <w:p>
      <w:pPr>
        <w:pStyle w:val="EndNoteBibliography"/>
        <w:rPr>
          <w:lang w:val="de-DE"/>
        </w:rPr>
      </w:pPr>
      <w:r>
        <w:rPr>
          <w:lang w:val="de-DE"/>
        </w:rPr>
        <w:t>[42]</w:t>
        <w:tab/>
        <w:t xml:space="preserve">a) L. Xu, S. Huang, Y. Hou, Y. Liu, M. Ni, F. Meng, K. Wang, Y. Rui, X. Jiang, G. Li, </w:t>
      </w:r>
      <w:r>
        <w:rPr>
          <w:i/>
          <w:lang w:val="de-DE"/>
        </w:rPr>
        <w:t xml:space="preserve">FASEB J. </w:t>
      </w:r>
      <w:r>
        <w:rPr>
          <w:b/>
          <w:lang w:val="de-DE"/>
        </w:rPr>
        <w:t>2014</w:t>
      </w:r>
      <w:r>
        <w:rPr>
          <w:lang w:val="de-DE"/>
        </w:rPr>
        <w:t>, fj.14-254169 [pii]</w:t>
      </w:r>
    </w:p>
    <w:p>
      <w:pPr>
        <w:pStyle w:val="EndNoteBibliography"/>
        <w:spacing w:before="240" w:after="0"/>
        <w:rPr>
          <w:lang w:val="de-DE"/>
        </w:rPr>
      </w:pPr>
      <w:r>
        <w:rPr>
          <w:lang w:val="de-DE"/>
        </w:rPr>
        <w:t xml:space="preserve">10.1096/fj.14-254169; b) X. C. Zhang, Z. Y. Zhang, G. Shen, J. Zhao, </w:t>
      </w:r>
      <w:r>
        <w:rPr>
          <w:i/>
          <w:lang w:val="de-DE"/>
        </w:rPr>
        <w:t xml:space="preserve">Int. J. Nanomed. </w:t>
      </w:r>
      <w:r>
        <w:rPr>
          <w:b/>
          <w:lang w:val="de-DE"/>
        </w:rPr>
        <w:t>2016</w:t>
      </w:r>
      <w:r>
        <w:rPr>
          <w:lang w:val="de-DE"/>
        </w:rPr>
        <w:t xml:space="preserve">, </w:t>
      </w:r>
      <w:r>
        <w:rPr>
          <w:i/>
          <w:lang w:val="de-DE"/>
        </w:rPr>
        <w:t>11</w:t>
      </w:r>
      <w:r>
        <w:rPr>
          <w:lang w:val="de-DE"/>
        </w:rPr>
        <w:t>.</w:t>
      </w:r>
    </w:p>
    <w:p>
      <w:pPr>
        <w:pStyle w:val="EndNoteBibliography"/>
        <w:spacing w:before="240" w:after="0"/>
        <w:rPr>
          <w:lang w:val="de-DE"/>
        </w:rPr>
      </w:pPr>
      <w:r>
        <w:rPr>
          <w:lang w:val="de-DE"/>
        </w:rPr>
        <w:t>[43]</w:t>
        <w:tab/>
        <w:t xml:space="preserve">T. Fernandes Stefanello, A. Szarpak-Jankowska, F. Appaix, B. Louage, L. Hamard, B. G. De Geest, B. van der Sanden, C. V. Nakamura, R. Auzely-Velty, </w:t>
      </w:r>
      <w:r>
        <w:rPr>
          <w:i/>
          <w:lang w:val="de-DE"/>
        </w:rPr>
        <w:t xml:space="preserve">Acta Biomater </w:t>
      </w:r>
      <w:r>
        <w:rPr>
          <w:b/>
          <w:lang w:val="de-DE"/>
        </w:rPr>
        <w:t>2014</w:t>
      </w:r>
      <w:r>
        <w:rPr>
          <w:lang w:val="de-DE"/>
        </w:rPr>
        <w:t xml:space="preserve">, </w:t>
      </w:r>
      <w:r>
        <w:rPr>
          <w:i/>
          <w:lang w:val="de-DE"/>
        </w:rPr>
        <w:t>10</w:t>
      </w:r>
      <w:r>
        <w:rPr>
          <w:lang w:val="de-DE"/>
        </w:rPr>
        <w:t>, 4750.</w:t>
      </w:r>
    </w:p>
    <w:p>
      <w:pPr>
        <w:pStyle w:val="EndNoteBibliography"/>
        <w:spacing w:before="240" w:after="0"/>
        <w:rPr/>
      </w:pPr>
      <w:r>
        <w:rPr/>
        <w:t>[44]</w:t>
        <w:tab/>
        <w:t xml:space="preserve">W. Y. Chen, G. Abatangelo, </w:t>
      </w:r>
      <w:r>
        <w:rPr>
          <w:i/>
        </w:rPr>
        <w:t xml:space="preserve">Wound Repair Regen </w:t>
      </w:r>
      <w:r>
        <w:rPr>
          <w:b/>
        </w:rPr>
        <w:t>1999</w:t>
      </w:r>
      <w:r>
        <w:rPr/>
        <w:t xml:space="preserve">, </w:t>
      </w:r>
      <w:r>
        <w:rPr>
          <w:i/>
        </w:rPr>
        <w:t>7</w:t>
      </w:r>
      <w:r>
        <w:rPr/>
        <w:t>, 79.</w:t>
      </w:r>
    </w:p>
    <w:p>
      <w:pPr>
        <w:pStyle w:val="EndNoteBibliography"/>
        <w:spacing w:before="240" w:after="0"/>
        <w:rPr/>
      </w:pPr>
      <w:r>
        <w:rPr/>
        <w:t>[45]</w:t>
        <w:tab/>
        <w:t xml:space="preserve">A. Thomas, K. G. Harding, K. Moore, </w:t>
      </w:r>
      <w:r>
        <w:rPr>
          <w:i/>
        </w:rPr>
        <w:t xml:space="preserve">Biomaterials </w:t>
      </w:r>
      <w:r>
        <w:rPr>
          <w:b/>
        </w:rPr>
        <w:t>2000</w:t>
      </w:r>
      <w:r>
        <w:rPr/>
        <w:t xml:space="preserve">, </w:t>
      </w:r>
      <w:r>
        <w:rPr>
          <w:i/>
        </w:rPr>
        <w:t>21</w:t>
      </w:r>
      <w:r>
        <w:rPr/>
        <w:t>, 1797.</w:t>
      </w:r>
    </w:p>
    <w:p>
      <w:pPr>
        <w:pStyle w:val="EndNoteBibliography"/>
        <w:spacing w:before="240" w:after="0"/>
        <w:rPr/>
      </w:pPr>
      <w:r>
        <w:rPr/>
        <w:t>[46]</w:t>
        <w:tab/>
        <w:t xml:space="preserve">P. Ayala, J. Caves, E. Dai, L. Siraj, L. Liu, O. Chaudhuri, C. A. Haller, D. J. Mooney, E. L. Chaikof, </w:t>
      </w:r>
      <w:r>
        <w:rPr>
          <w:i/>
        </w:rPr>
        <w:t xml:space="preserve">Acta Biomater </w:t>
      </w:r>
      <w:r>
        <w:rPr>
          <w:b/>
        </w:rPr>
        <w:t>2015</w:t>
      </w:r>
      <w:r>
        <w:rPr/>
        <w:t xml:space="preserve">, </w:t>
      </w:r>
      <w:r>
        <w:rPr>
          <w:i/>
        </w:rPr>
        <w:t>26</w:t>
      </w:r>
      <w:r>
        <w:rPr/>
        <w:t>, 1.</w:t>
      </w:r>
    </w:p>
    <w:p>
      <w:pPr>
        <w:pStyle w:val="EndNoteBibliography"/>
        <w:spacing w:before="240" w:after="0"/>
        <w:rPr/>
      </w:pPr>
      <w:r>
        <w:rPr/>
        <w:t>[47]</w:t>
        <w:tab/>
        <w:t xml:space="preserve">M. Otterlei, K. Ostgaard, G. Skjak-Braek, O. Smidsrod, P. Soon-Shiong, T. Espevik, </w:t>
      </w:r>
      <w:r>
        <w:rPr>
          <w:i/>
        </w:rPr>
        <w:t xml:space="preserve">J Immunother (1991) </w:t>
      </w:r>
      <w:r>
        <w:rPr>
          <w:b/>
        </w:rPr>
        <w:t>1991</w:t>
      </w:r>
      <w:r>
        <w:rPr/>
        <w:t xml:space="preserve">, </w:t>
      </w:r>
      <w:r>
        <w:rPr>
          <w:i/>
        </w:rPr>
        <w:t>10</w:t>
      </w:r>
      <w:r>
        <w:rPr/>
        <w:t>, 286.</w:t>
      </w:r>
    </w:p>
    <w:p>
      <w:pPr>
        <w:pStyle w:val="EndNoteBibliography"/>
        <w:spacing w:before="240" w:after="0"/>
        <w:rPr/>
      </w:pPr>
      <w:r>
        <w:rPr/>
        <w:t>[48]</w:t>
        <w:tab/>
        <w:t xml:space="preserve">a) M. Hemshekhar, R. M. Thushara, S. Chandranayaka, L. S. Sherman, K. Kemparaju, K. S. Girish, </w:t>
      </w:r>
      <w:r>
        <w:rPr>
          <w:i/>
        </w:rPr>
        <w:t xml:space="preserve">Int. J. Biol. Macromol. </w:t>
      </w:r>
      <w:r>
        <w:rPr>
          <w:b/>
        </w:rPr>
        <w:t>2016</w:t>
      </w:r>
      <w:r>
        <w:rPr/>
        <w:t xml:space="preserve">, </w:t>
      </w:r>
      <w:r>
        <w:rPr>
          <w:i/>
        </w:rPr>
        <w:t>86</w:t>
      </w:r>
      <w:r>
        <w:rPr/>
        <w:t xml:space="preserve">, 917; b) Y. Deng, J. Ren, G. Chen, G. Li, X. Wu, G. Wang, G. Gu, J. Li, </w:t>
      </w:r>
      <w:r>
        <w:rPr>
          <w:i/>
        </w:rPr>
        <w:t xml:space="preserve">Sci Rep </w:t>
      </w:r>
      <w:r>
        <w:rPr>
          <w:b/>
        </w:rPr>
        <w:t>2017</w:t>
      </w:r>
      <w:r>
        <w:rPr/>
        <w:t xml:space="preserve">, </w:t>
      </w:r>
      <w:r>
        <w:rPr>
          <w:i/>
        </w:rPr>
        <w:t>7</w:t>
      </w:r>
      <w:r>
        <w:rPr/>
        <w:t xml:space="preserve">, 2699; c) S. Abdalla, G. Makhoul, M. Duong, R. C. Chiu, R. Cecere, </w:t>
      </w:r>
      <w:r>
        <w:rPr>
          <w:i/>
        </w:rPr>
        <w:t xml:space="preserve">Interact Cardiovasc Thorac Surg </w:t>
      </w:r>
      <w:r>
        <w:rPr>
          <w:b/>
        </w:rPr>
        <w:t>2013</w:t>
      </w:r>
      <w:r>
        <w:rPr/>
        <w:t xml:space="preserve">, </w:t>
      </w:r>
      <w:r>
        <w:rPr>
          <w:i/>
        </w:rPr>
        <w:t>17</w:t>
      </w:r>
      <w:r>
        <w:rPr/>
        <w:t>, 767.</w:t>
      </w:r>
    </w:p>
    <w:p>
      <w:pPr>
        <w:pStyle w:val="EndNoteBibliography"/>
        <w:spacing w:before="240" w:after="0"/>
        <w:rPr/>
      </w:pPr>
      <w:r>
        <w:rPr/>
        <w:t>[49]</w:t>
        <w:tab/>
        <w:t xml:space="preserve">F. Z. Cui, W. M. Tian, S. P. Hou, Q. Y. Xu, I. S. Lee, </w:t>
      </w:r>
      <w:r>
        <w:rPr>
          <w:i/>
        </w:rPr>
        <w:t xml:space="preserve">J Mater Sci Mater Med </w:t>
      </w:r>
      <w:r>
        <w:rPr>
          <w:b/>
        </w:rPr>
        <w:t>2006</w:t>
      </w:r>
      <w:r>
        <w:rPr/>
        <w:t xml:space="preserve">, </w:t>
      </w:r>
      <w:r>
        <w:rPr>
          <w:i/>
        </w:rPr>
        <w:t>17</w:t>
      </w:r>
      <w:r>
        <w:rPr/>
        <w:t>, 1393.</w:t>
      </w:r>
    </w:p>
    <w:p>
      <w:pPr>
        <w:pStyle w:val="EndNoteBibliography"/>
        <w:spacing w:before="240" w:after="0"/>
        <w:rPr>
          <w:lang w:val="de-DE"/>
        </w:rPr>
      </w:pPr>
      <w:r>
        <w:rPr/>
        <w:t>[50]</w:t>
        <w:tab/>
        <w:t xml:space="preserve">T. Agarwal, P. Kabiraj, G. H. Narayana, S. Kulanthaivel, U. Kasiviswanathan, K. Pal, S. Giri, T. K. Maiti, I. Banerjee, </w:t>
      </w:r>
      <w:r>
        <w:rPr>
          <w:i/>
        </w:rPr>
        <w:t xml:space="preserve">ACS Appl. </w:t>
      </w:r>
      <w:r>
        <w:rPr>
          <w:i/>
          <w:lang w:val="de-DE"/>
        </w:rPr>
        <w:t xml:space="preserve">Mater. Interfaces </w:t>
      </w:r>
      <w:r>
        <w:rPr>
          <w:b/>
          <w:lang w:val="de-DE"/>
        </w:rPr>
        <w:t>2016</w:t>
      </w:r>
      <w:r>
        <w:rPr>
          <w:lang w:val="de-DE"/>
        </w:rPr>
        <w:t xml:space="preserve">, </w:t>
      </w:r>
      <w:r>
        <w:rPr>
          <w:i/>
          <w:lang w:val="de-DE"/>
        </w:rPr>
        <w:t>8</w:t>
      </w:r>
      <w:r>
        <w:rPr>
          <w:lang w:val="de-DE"/>
        </w:rPr>
        <w:t>, 32132.</w:t>
      </w:r>
    </w:p>
    <w:p>
      <w:pPr>
        <w:pStyle w:val="EndNoteBibliography"/>
        <w:spacing w:before="240" w:after="0"/>
        <w:rPr>
          <w:lang w:val="de-DE"/>
        </w:rPr>
      </w:pPr>
      <w:r>
        <w:rPr>
          <w:lang w:val="de-DE"/>
        </w:rPr>
        <w:t>[51]</w:t>
        <w:tab/>
        <w:t xml:space="preserve">J. Yu, Y. Gu, K. T. Du, S. Mihardja, R. E. Sievers, R. J. Lee, </w:t>
      </w:r>
      <w:r>
        <w:rPr>
          <w:i/>
          <w:lang w:val="de-DE"/>
        </w:rPr>
        <w:t xml:space="preserve">Biomaterials </w:t>
      </w:r>
      <w:r>
        <w:rPr>
          <w:b/>
          <w:lang w:val="de-DE"/>
        </w:rPr>
        <w:t>2009</w:t>
      </w:r>
      <w:r>
        <w:rPr>
          <w:lang w:val="de-DE"/>
        </w:rPr>
        <w:t xml:space="preserve">, </w:t>
      </w:r>
      <w:r>
        <w:rPr>
          <w:i/>
          <w:lang w:val="de-DE"/>
        </w:rPr>
        <w:t>30</w:t>
      </w:r>
      <w:r>
        <w:rPr>
          <w:lang w:val="de-DE"/>
        </w:rPr>
        <w:t>, 751.</w:t>
      </w:r>
    </w:p>
    <w:p>
      <w:pPr>
        <w:pStyle w:val="EndNoteBibliography"/>
        <w:spacing w:before="240" w:after="0"/>
        <w:rPr>
          <w:lang w:val="de-DE"/>
        </w:rPr>
      </w:pPr>
      <w:r>
        <w:rPr>
          <w:lang w:val="nl-NL"/>
        </w:rPr>
        <w:t>[52]</w:t>
        <w:tab/>
        <w:t xml:space="preserve">A. L. De Boer, H. Van Urk, J. B. Bouwstra, P. F. T. M. Van Asten, RGD containing recombinant gelatin. </w:t>
      </w:r>
      <w:r>
        <w:rPr>
          <w:lang w:val="de-DE"/>
        </w:rPr>
        <w:t>Google Patents: 2012.</w:t>
      </w:r>
    </w:p>
    <w:p>
      <w:pPr>
        <w:pStyle w:val="EndNoteBibliography"/>
        <w:spacing w:before="240" w:after="0"/>
        <w:rPr>
          <w:lang w:val="de-DE"/>
        </w:rPr>
      </w:pPr>
      <w:r>
        <w:rPr>
          <w:lang w:val="de-DE"/>
        </w:rPr>
        <w:t>[53]</w:t>
        <w:tab/>
        <w:t xml:space="preserve">T. Kirsch, J. Nickel, W. Sebald, </w:t>
      </w:r>
      <w:r>
        <w:rPr>
          <w:i/>
          <w:lang w:val="de-DE"/>
        </w:rPr>
        <w:t xml:space="preserve">FEBS Lett. </w:t>
      </w:r>
      <w:r>
        <w:rPr>
          <w:b/>
          <w:lang w:val="de-DE"/>
        </w:rPr>
        <w:t>2000</w:t>
      </w:r>
      <w:r>
        <w:rPr>
          <w:lang w:val="de-DE"/>
        </w:rPr>
        <w:t xml:space="preserve">, </w:t>
      </w:r>
      <w:r>
        <w:rPr>
          <w:i/>
          <w:lang w:val="de-DE"/>
        </w:rPr>
        <w:t>468</w:t>
      </w:r>
      <w:r>
        <w:rPr>
          <w:lang w:val="de-DE"/>
        </w:rPr>
        <w:t>, 215.</w:t>
      </w:r>
    </w:p>
    <w:p>
      <w:pPr>
        <w:pStyle w:val="EndNoteBibliography"/>
        <w:spacing w:before="240" w:after="0"/>
        <w:rPr>
          <w:lang w:val="de-DE"/>
        </w:rPr>
      </w:pPr>
      <w:r>
        <w:rPr>
          <w:lang w:val="de-DE"/>
        </w:rPr>
        <w:t>[54]</w:t>
        <w:tab/>
        <w:t xml:space="preserve">a) D. A. Cardoso, J. J. van den Beucken, L. L. Both, J. Bender, J. A. Jansen, S. C. Leeuwenburgh, </w:t>
      </w:r>
      <w:r>
        <w:rPr>
          <w:i/>
          <w:lang w:val="de-DE"/>
        </w:rPr>
        <w:t xml:space="preserve">J Biomed Mater Res A </w:t>
      </w:r>
      <w:r>
        <w:rPr>
          <w:b/>
          <w:lang w:val="de-DE"/>
        </w:rPr>
        <w:t>2014</w:t>
      </w:r>
      <w:r>
        <w:rPr>
          <w:lang w:val="de-DE"/>
        </w:rPr>
        <w:t xml:space="preserve">, </w:t>
      </w:r>
      <w:r>
        <w:rPr>
          <w:i/>
          <w:lang w:val="de-DE"/>
        </w:rPr>
        <w:t>102</w:t>
      </w:r>
      <w:r>
        <w:rPr>
          <w:lang w:val="de-DE"/>
        </w:rPr>
        <w:t xml:space="preserve">, 808; b) C. K. Kuo, P. X. Ma, </w:t>
      </w:r>
      <w:r>
        <w:rPr>
          <w:i/>
          <w:lang w:val="de-DE"/>
        </w:rPr>
        <w:t xml:space="preserve">Biomaterials </w:t>
      </w:r>
      <w:r>
        <w:rPr>
          <w:b/>
          <w:lang w:val="de-DE"/>
        </w:rPr>
        <w:t>2001</w:t>
      </w:r>
      <w:r>
        <w:rPr>
          <w:lang w:val="de-DE"/>
        </w:rPr>
        <w:t xml:space="preserve">, </w:t>
      </w:r>
      <w:r>
        <w:rPr>
          <w:i/>
          <w:lang w:val="de-DE"/>
        </w:rPr>
        <w:t>22</w:t>
      </w:r>
      <w:r>
        <w:rPr>
          <w:lang w:val="de-DE"/>
        </w:rPr>
        <w:t xml:space="preserve">, 511; c) A. Schmitt, P. Rodel, C. Anamur, C. Seeliger, A. B. Imhoff, E. Herbst, S. Vogt, M. van Griensven, G. Winter, J. Engert, </w:t>
      </w:r>
      <w:r>
        <w:rPr>
          <w:i/>
          <w:lang w:val="de-DE"/>
        </w:rPr>
        <w:t xml:space="preserve">PLoS One </w:t>
      </w:r>
      <w:r>
        <w:rPr>
          <w:b/>
          <w:lang w:val="de-DE"/>
        </w:rPr>
        <w:t>2015</w:t>
      </w:r>
      <w:r>
        <w:rPr>
          <w:lang w:val="de-DE"/>
        </w:rPr>
        <w:t xml:space="preserve">, </w:t>
      </w:r>
      <w:r>
        <w:rPr>
          <w:i/>
          <w:lang w:val="de-DE"/>
        </w:rPr>
        <w:t>10</w:t>
      </w:r>
      <w:r>
        <w:rPr>
          <w:lang w:val="de-DE"/>
        </w:rPr>
        <w:t>, e0118937.</w:t>
      </w:r>
    </w:p>
    <w:p>
      <w:pPr>
        <w:pStyle w:val="EndNoteBibliography"/>
        <w:spacing w:before="240" w:after="0"/>
        <w:rPr>
          <w:lang w:val="de-DE"/>
        </w:rPr>
      </w:pPr>
      <w:r>
        <w:rPr>
          <w:lang w:val="de-DE"/>
        </w:rPr>
        <w:t>[55]</w:t>
        <w:tab/>
        <w:t xml:space="preserve">a) G. Hulsart-Billstrom, Q. Hu, K. Bergman, K. B. Jonsson, J. Aberg, R. Tang, S. Larsson, J. Hilborn, </w:t>
      </w:r>
      <w:r>
        <w:rPr>
          <w:i/>
          <w:lang w:val="de-DE"/>
        </w:rPr>
        <w:t xml:space="preserve">Acta Biomater </w:t>
      </w:r>
      <w:r>
        <w:rPr>
          <w:b/>
          <w:lang w:val="de-DE"/>
        </w:rPr>
        <w:t>2011</w:t>
      </w:r>
      <w:r>
        <w:rPr>
          <w:lang w:val="de-DE"/>
        </w:rPr>
        <w:t xml:space="preserve">, </w:t>
      </w:r>
      <w:r>
        <w:rPr>
          <w:i/>
          <w:lang w:val="de-DE"/>
        </w:rPr>
        <w:t>7</w:t>
      </w:r>
      <w:r>
        <w:rPr>
          <w:lang w:val="de-DE"/>
        </w:rPr>
        <w:t xml:space="preserve">, 3042; b) L. Luca, A. L. Rougemont, B. H. Walpoth, R. Gurny, O. Jordan, </w:t>
      </w:r>
      <w:r>
        <w:rPr>
          <w:i/>
          <w:lang w:val="de-DE"/>
        </w:rPr>
        <w:t xml:space="preserve">J Control Release </w:t>
      </w:r>
      <w:r>
        <w:rPr>
          <w:b/>
          <w:lang w:val="de-DE"/>
        </w:rPr>
        <w:t>2010</w:t>
      </w:r>
      <w:r>
        <w:rPr>
          <w:lang w:val="de-DE"/>
        </w:rPr>
        <w:t xml:space="preserve">, </w:t>
      </w:r>
      <w:r>
        <w:rPr>
          <w:i/>
          <w:lang w:val="de-DE"/>
        </w:rPr>
        <w:t>147</w:t>
      </w:r>
      <w:r>
        <w:rPr>
          <w:lang w:val="de-DE"/>
        </w:rPr>
        <w:t xml:space="preserve">, 38; c) M. Kisiel, M. Ventura, O. P. Oommen, A. George, X. F. Walboomers, J. Hilborn, O. P. Varghese, </w:t>
      </w:r>
      <w:r>
        <w:rPr>
          <w:i/>
          <w:lang w:val="de-DE"/>
        </w:rPr>
        <w:t xml:space="preserve">J Control Release </w:t>
      </w:r>
      <w:r>
        <w:rPr>
          <w:b/>
          <w:lang w:val="de-DE"/>
        </w:rPr>
        <w:t>2012</w:t>
      </w:r>
      <w:r>
        <w:rPr>
          <w:lang w:val="de-DE"/>
        </w:rPr>
        <w:t xml:space="preserve">, </w:t>
      </w:r>
      <w:r>
        <w:rPr>
          <w:i/>
          <w:lang w:val="de-DE"/>
        </w:rPr>
        <w:t>162</w:t>
      </w:r>
      <w:r>
        <w:rPr>
          <w:lang w:val="de-DE"/>
        </w:rPr>
        <w:t>, 646.</w:t>
      </w:r>
    </w:p>
    <w:p>
      <w:pPr>
        <w:pStyle w:val="EndNoteBibliography"/>
        <w:rPr>
          <w:lang w:val="de-DE"/>
        </w:rPr>
      </w:pPr>
      <w:r>
        <w:rPr>
          <w:lang w:val="de-DE"/>
        </w:rPr>
        <w:t>[56]</w:t>
        <w:tab/>
        <w:t xml:space="preserve">L. Utomo, M. M. Pleumeekers, L. Nimeskern, S. Nurnberger, K. S. Stok, F. Hildner, G. J. van Osch, </w:t>
      </w:r>
      <w:r>
        <w:rPr>
          <w:i/>
          <w:lang w:val="de-DE"/>
        </w:rPr>
        <w:t xml:space="preserve">Biomed Mater </w:t>
      </w:r>
      <w:r>
        <w:rPr>
          <w:b/>
          <w:lang w:val="de-DE"/>
        </w:rPr>
        <w:t>2015</w:t>
      </w:r>
      <w:r>
        <w:rPr>
          <w:lang w:val="de-DE"/>
        </w:rPr>
        <w:t xml:space="preserve">, </w:t>
      </w:r>
      <w:r>
        <w:rPr>
          <w:i/>
          <w:lang w:val="de-DE"/>
        </w:rPr>
        <w:t>10</w:t>
      </w:r>
      <w:r>
        <w:rPr>
          <w:lang w:val="de-DE"/>
        </w:rPr>
        <w:t>, 015010.</w:t>
      </w:r>
    </w:p>
    <w:p>
      <w:pPr>
        <w:pStyle w:val="EndNoteBibliography"/>
        <w:rPr>
          <w:lang w:val="de-DE"/>
        </w:rPr>
      </w:pPr>
      <w:r>
        <w:rPr>
          <w:lang w:val="de-DE"/>
        </w:rPr>
        <w:t xml:space="preserve"> </w:t>
      </w:r>
      <w:r>
        <w:rPr>
          <w:lang w:val="de-DE"/>
        </w:rPr>
        <w:br/>
      </w:r>
    </w:p>
    <w:p>
      <w:pPr>
        <w:pStyle w:val="Normal"/>
        <w:spacing w:before="0" w:after="200"/>
        <w:rPr>
          <w:rFonts w:ascii="Times New Roman" w:hAnsi="Times New Roman" w:cs="Times New Roman"/>
          <w:sz w:val="24"/>
          <w:lang w:val="de-DE"/>
        </w:rPr>
      </w:pPr>
      <w:r>
        <w:rPr>
          <w:rFonts w:cs="Times New Roman" w:ascii="Times New Roman" w:hAnsi="Times New Roman"/>
          <w:sz w:val="24"/>
          <w:lang w:val="de-DE"/>
        </w:rPr>
      </w:r>
      <w:r>
        <w:br w:type="page"/>
      </w:r>
    </w:p>
    <w:p>
      <w:pPr>
        <w:pStyle w:val="Normal"/>
        <w:spacing w:lineRule="auto" w:line="48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t>Copyright WILEY-VCH Verlag GmbH &amp; Co. KGaA, 69469 Weinheim, Germany, 2016.</w:t>
      </w:r>
    </w:p>
    <w:p>
      <w:pPr>
        <w:pStyle w:val="Normal"/>
        <w:spacing w:lineRule="auto" w:line="240" w:before="0" w:after="0"/>
        <w:rPr>
          <w:rFonts w:ascii="Times New Roman" w:hAnsi="Times New Roman" w:eastAsia="MS Mincho" w:cs="Times New Roman"/>
          <w:color w:val="FF0000"/>
          <w:sz w:val="24"/>
          <w:szCs w:val="24"/>
          <w:lang w:eastAsia="ja-JP"/>
        </w:rPr>
      </w:pPr>
      <w:r>
        <w:rPr>
          <w:rFonts w:eastAsia="MS Mincho" w:cs="Times New Roman" w:ascii="Times New Roman" w:hAnsi="Times New Roman"/>
          <w:color w:val="FF0000"/>
          <w:sz w:val="24"/>
          <w:szCs w:val="24"/>
          <w:lang w:eastAsia="ja-JP"/>
        </w:rPr>
      </w:r>
    </w:p>
    <w:p>
      <w:pPr>
        <w:pStyle w:val="Normal"/>
        <w:spacing w:lineRule="auto" w:line="240" w:before="0" w:after="0"/>
        <w:rPr>
          <w:rFonts w:ascii="Times New Roman" w:hAnsi="Times New Roman" w:eastAsia="MS Mincho" w:cs="Times New Roman"/>
          <w:color w:val="000000"/>
          <w:sz w:val="32"/>
          <w:szCs w:val="32"/>
          <w:lang w:eastAsia="ja-JP"/>
        </w:rPr>
      </w:pPr>
      <w:r>
        <w:rPr>
          <w:rFonts w:eastAsia="MS Mincho" w:cs="Times New Roman" w:ascii="Times New Roman" w:hAnsi="Times New Roman"/>
          <w:color w:val="000000"/>
          <w:sz w:val="32"/>
          <w:szCs w:val="32"/>
          <w:lang w:eastAsia="ja-JP"/>
        </w:rPr>
        <w:t xml:space="preserve">Supporting Information </w:t>
      </w:r>
    </w:p>
    <w:p>
      <w:pPr>
        <w:pStyle w:val="Normal"/>
        <w:spacing w:lineRule="auto" w:line="240" w:before="0" w:after="0"/>
        <w:rPr>
          <w:rFonts w:ascii="Times New Roman" w:hAnsi="Times New Roman" w:eastAsia="MS Mincho" w:cs="Times New Roman"/>
          <w:color w:val="FF0000"/>
          <w:sz w:val="24"/>
          <w:szCs w:val="24"/>
          <w:lang w:eastAsia="ja-JP"/>
        </w:rPr>
      </w:pPr>
      <w:r>
        <w:rPr>
          <w:rFonts w:eastAsia="MS Mincho" w:cs="Times New Roman" w:ascii="Times New Roman" w:hAnsi="Times New Roman"/>
          <w:color w:val="FF0000"/>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b/>
          <w:b/>
          <w:sz w:val="24"/>
          <w:szCs w:val="24"/>
          <w:lang w:eastAsia="ja-JP"/>
        </w:rPr>
      </w:pPr>
      <w:r>
        <w:rPr>
          <w:rFonts w:eastAsia="MS Mincho" w:cs="Times New Roman" w:ascii="Times New Roman" w:hAnsi="Times New Roman"/>
          <w:b/>
          <w:sz w:val="24"/>
          <w:szCs w:val="24"/>
          <w:lang w:eastAsia="ja-JP"/>
        </w:rPr>
        <w:t xml:space="preserve">Novel </w:t>
      </w:r>
      <w:r>
        <w:rPr>
          <w:rFonts w:eastAsia="MS Mincho" w:cs="Times New Roman" w:ascii="Times New Roman" w:hAnsi="Times New Roman"/>
          <w:b/>
          <w:i/>
          <w:sz w:val="24"/>
          <w:szCs w:val="24"/>
          <w:lang w:eastAsia="ja-JP"/>
        </w:rPr>
        <w:t>in situ</w:t>
      </w:r>
      <w:r>
        <w:rPr>
          <w:rFonts w:eastAsia="MS Mincho" w:cs="Times New Roman" w:ascii="Times New Roman" w:hAnsi="Times New Roman"/>
          <w:b/>
          <w:sz w:val="24"/>
          <w:szCs w:val="24"/>
          <w:lang w:eastAsia="ja-JP"/>
        </w:rPr>
        <w:t xml:space="preserve"> gelling hydrogels loaded with recombinant collagen peptide microspheres as a slow-release system induce ectopic bone formation</w:t>
      </w:r>
    </w:p>
    <w:p>
      <w:pPr>
        <w:pStyle w:val="Normal"/>
        <w:spacing w:lineRule="auto" w:line="240" w:before="0" w:after="0"/>
        <w:rPr>
          <w:rFonts w:ascii="Times New Roman" w:hAnsi="Times New Roman" w:eastAsia="MS Mincho" w:cs="Times New Roman"/>
          <w:color w:val="FF0000"/>
          <w:sz w:val="24"/>
          <w:szCs w:val="24"/>
          <w:lang w:eastAsia="ja-JP"/>
        </w:rPr>
      </w:pPr>
      <w:r>
        <w:rPr>
          <w:rFonts w:eastAsia="MS Mincho" w:cs="Times New Roman" w:ascii="Times New Roman" w:hAnsi="Times New Roman"/>
          <w:color w:val="FF0000"/>
          <w:sz w:val="24"/>
          <w:szCs w:val="24"/>
          <w:lang w:eastAsia="ja-JP"/>
        </w:rPr>
      </w:r>
    </w:p>
    <w:p>
      <w:pPr>
        <w:pStyle w:val="Normal"/>
        <w:spacing w:lineRule="auto" w:line="240" w:before="0" w:after="0"/>
        <w:contextualSpacing/>
        <w:rPr>
          <w:rFonts w:ascii="Times New Roman" w:hAnsi="Times New Roman" w:eastAsia="MS Mincho" w:cs="Times New Roman"/>
          <w:i/>
          <w:i/>
          <w:sz w:val="24"/>
          <w:szCs w:val="24"/>
          <w:lang w:eastAsia="ja-JP"/>
        </w:rPr>
      </w:pPr>
      <w:r>
        <w:rPr>
          <w:rFonts w:eastAsia="MS Mincho" w:cs="Times New Roman" w:ascii="Times New Roman" w:hAnsi="Times New Roman"/>
          <w:i/>
          <w:sz w:val="24"/>
          <w:szCs w:val="24"/>
          <w:lang w:eastAsia="ja-JP"/>
        </w:rPr>
        <w:t xml:space="preserve">Shorouk Fahmy-Garcia, Didem Mumcuoglu, Laura de Miguel, Veerle Dieleman, Janneke Witte-Bouma, Bram C.J. van der Eerden, Marjolein van Driel, David Eglin, J. A. N. Verhaar, Sebastiaan G.J.M. Kluijtmans, Gerjo J.V.M van Osch, and Eric Farrell* </w:t>
      </w:r>
    </w:p>
    <w:p>
      <w:pPr>
        <w:pStyle w:val="Normal"/>
        <w:spacing w:lineRule="auto" w:line="240" w:before="0" w:after="0"/>
        <w:rPr>
          <w:rFonts w:ascii="Times New Roman" w:hAnsi="Times New Roman" w:eastAsia="MS Mincho" w:cs="Times New Roman"/>
          <w:i/>
          <w:i/>
          <w:sz w:val="24"/>
          <w:szCs w:val="24"/>
          <w:lang w:eastAsia="ja-JP"/>
        </w:rPr>
      </w:pPr>
      <w:r>
        <w:rPr>
          <w:rFonts w:eastAsia="MS Mincho" w:cs="Times New Roman" w:ascii="Times New Roman" w:hAnsi="Times New Roman"/>
          <w:i/>
          <w:sz w:val="24"/>
          <w:szCs w:val="24"/>
          <w:lang w:eastAsia="ja-JP"/>
        </w:rPr>
      </w:r>
    </w:p>
    <w:p>
      <w:pPr>
        <w:pStyle w:val="Normal"/>
        <w:spacing w:lineRule="auto" w:line="240" w:before="0" w:after="0"/>
        <w:rPr>
          <w:rFonts w:ascii="Times New Roman" w:hAnsi="Times New Roman" w:eastAsia="MS Mincho" w:cs="Times New Roman"/>
          <w:sz w:val="24"/>
          <w:szCs w:val="24"/>
          <w:lang w:val="en-GB" w:eastAsia="ja-JP"/>
        </w:rPr>
      </w:pPr>
      <w:r>
        <w:rPr>
          <w:rFonts w:eastAsia="MS Mincho" w:cs="Times New Roman" w:ascii="Times New Roman" w:hAnsi="Times New Roman"/>
          <w:b/>
          <w:bCs/>
          <w:iCs/>
          <w:sz w:val="24"/>
          <w:szCs w:val="24"/>
          <w:lang w:val="en-GB" w:eastAsia="ja-JP"/>
        </w:rPr>
        <w:t xml:space="preserve">Table S1. </w:t>
      </w:r>
      <w:r>
        <w:rPr>
          <w:rFonts w:eastAsia="MS Mincho" w:cs="Times New Roman" w:ascii="Times New Roman" w:hAnsi="Times New Roman"/>
          <w:bCs/>
          <w:iCs/>
          <w:sz w:val="24"/>
          <w:szCs w:val="24"/>
          <w:lang w:val="en-GB" w:eastAsia="ja-JP"/>
        </w:rPr>
        <w:t>Table showing the strain % at which the structure breaks, as shown by the amplitude sweeping test analyzed by rheology.</w:t>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480" w:before="0" w:after="0"/>
        <w:rPr>
          <w:rFonts w:ascii="Times New Roman" w:hAnsi="Times New Roman" w:eastAsia="MS Mincho" w:cs="Times New Roman"/>
          <w:color w:val="FF0000"/>
          <w:sz w:val="24"/>
          <w:szCs w:val="24"/>
          <w:lang w:val="de-DE" w:eastAsia="ja-JP"/>
        </w:rPr>
      </w:pPr>
      <w:r>
        <w:rPr>
          <w:rFonts w:eastAsia="MS Mincho" w:cs="Times New Roman" w:ascii="Times New Roman" w:hAnsi="Times New Roman"/>
          <w:color w:val="FF0000"/>
          <w:sz w:val="24"/>
          <w:szCs w:val="24"/>
          <w:lang w:val="de-DE" w:eastAsia="ja-JP"/>
        </w:rPr>
      </w:r>
      <w:r>
        <mc:AlternateContent>
          <mc:Choice Requires="wps">
            <w:drawing>
              <wp:anchor behindDoc="0" distT="0" distB="0" distL="89535" distR="89535" simplePos="0" locked="0" layoutInCell="1" allowOverlap="1" relativeHeight="69">
                <wp:simplePos x="0" y="0"/>
                <wp:positionH relativeFrom="margin">
                  <wp:align>right</wp:align>
                </wp:positionH>
                <wp:positionV relativeFrom="paragraph">
                  <wp:posOffset>127635</wp:posOffset>
                </wp:positionV>
                <wp:extent cx="5867400" cy="1000125"/>
                <wp:effectExtent l="0" t="0" r="0" b="0"/>
                <wp:wrapSquare wrapText="bothSides"/>
                <wp:docPr id="17" name="Frame1"/>
                <a:graphic xmlns:a="http://schemas.openxmlformats.org/drawingml/2006/main">
                  <a:graphicData uri="http://schemas.microsoft.com/office/word/2010/wordprocessingShape">
                    <wps:wsp>
                      <wps:cNvSpPr txBox="1"/>
                      <wps:spPr>
                        <a:xfrm>
                          <a:off x="0" y="0"/>
                          <a:ext cx="5867400" cy="1000125"/>
                        </a:xfrm>
                        <a:prstGeom prst="rect"/>
                      </wps:spPr>
                      <wps:txbx>
                        <w:txbxContent>
                          <w:tbl>
                            <w:tblPr>
                              <w:tblpPr w:bottomFromText="0" w:horzAnchor="margin" w:leftFromText="141" w:rightFromText="141" w:tblpX="0" w:tblpXSpec="right" w:tblpY="201" w:topFromText="0" w:vertAnchor="text"/>
                              <w:tblW w:w="924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98" w:type="dxa"/>
                                <w:bottom w:w="0" w:type="dxa"/>
                                <w:right w:w="108" w:type="dxa"/>
                              </w:tblCellMar>
                              <w:tblLook w:noVBand="1" w:val="04a0" w:noHBand="0" w:lastColumn="0" w:firstColumn="1" w:lastRow="0" w:firstRow="1"/>
                            </w:tblPr>
                            <w:tblGrid>
                              <w:gridCol w:w="4620"/>
                              <w:gridCol w:w="4619"/>
                            </w:tblGrid>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 xml:space="preserve">Type of structure </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 xml:space="preserve">Strain % at which the structure breaks </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only</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12</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(SLG-20) + 8 % RCP-MS</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150</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(SLG-20) + 8 % RCP-MS+GDL</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&gt;167</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bookmarkStart w:id="122" w:name="__UnoMark__4574_1302293411"/>
                                  <w:bookmarkEnd w:id="122"/>
                                  <w:r>
                                    <w:rPr>
                                      <w:rFonts w:eastAsia="MS Mincho" w:cs="Times New Roman" w:ascii="Times New Roman" w:hAnsi="Times New Roman"/>
                                      <w:sz w:val="24"/>
                                      <w:szCs w:val="24"/>
                                      <w:lang w:val="it-IT" w:eastAsia="ja-JP"/>
                                    </w:rPr>
                                    <w:t>Alginate +CaCO</w:t>
                                  </w:r>
                                  <w:r>
                                    <w:rPr>
                                      <w:rFonts w:eastAsia="MS Mincho" w:cs="Times New Roman" w:ascii="Times New Roman" w:hAnsi="Times New Roman"/>
                                      <w:sz w:val="24"/>
                                      <w:szCs w:val="24"/>
                                      <w:vertAlign w:val="subscript"/>
                                      <w:lang w:val="it-IT" w:eastAsia="ja-JP"/>
                                    </w:rPr>
                                    <w:t>3</w:t>
                                  </w:r>
                                  <w:r>
                                    <w:rPr>
                                      <w:rFonts w:eastAsia="MS Mincho" w:cs="Times New Roman" w:ascii="Times New Roman" w:hAnsi="Times New Roman"/>
                                      <w:sz w:val="24"/>
                                      <w:szCs w:val="24"/>
                                      <w:lang w:val="it-IT" w:eastAsia="ja-JP"/>
                                    </w:rPr>
                                    <w:t xml:space="preserve"> (1 µm size) + GDL</w:t>
                                  </w:r>
                                  <w:bookmarkStart w:id="123" w:name="__UnoMark__4575_1302293411"/>
                                  <w:bookmarkEnd w:id="123"/>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bookmarkStart w:id="124" w:name="__UnoMark__4576_1302293411"/>
                                  <w:bookmarkEnd w:id="124"/>
                                  <w:r>
                                    <w:rPr>
                                      <w:rFonts w:eastAsia="MS Mincho" w:cs="Times New Roman" w:ascii="Times New Roman" w:hAnsi="Times New Roman"/>
                                      <w:sz w:val="24"/>
                                      <w:szCs w:val="24"/>
                                      <w:lang w:eastAsia="ja-JP"/>
                                    </w:rPr>
                                    <w:t>40</w:t>
                                  </w:r>
                                </w:p>
                              </w:tc>
                            </w:tr>
                          </w:tbl>
                        </w:txbxContent>
                      </wps:txbx>
                      <wps:bodyPr anchor="t" lIns="0" tIns="0" rIns="0" bIns="0">
                        <a:spAutoFit/>
                      </wps:bodyPr>
                    </wps:wsp>
                  </a:graphicData>
                </a:graphic>
              </wp:anchor>
            </w:drawing>
          </mc:Choice>
          <mc:Fallback>
            <w:pict>
              <v:rect style="position:absolute;rotation:0;width:462pt;height:78.75pt;mso-wrap-distance-left:7.05pt;mso-wrap-distance-right:7.05pt;mso-wrap-distance-top:0pt;mso-wrap-distance-bottom:0pt;margin-top:10.05pt;mso-position-vertical-relative:text;margin-left:29.55pt;mso-position-horizontal:right;mso-position-horizontal-relative:margin">
                <v:textbox inset="0in,0in,0in,0in">
                  <w:txbxContent>
                    <w:tbl>
                      <w:tblPr>
                        <w:tblpPr w:bottomFromText="0" w:horzAnchor="margin" w:leftFromText="141" w:rightFromText="141" w:tblpX="0" w:tblpXSpec="right" w:tblpY="201" w:topFromText="0" w:vertAnchor="text"/>
                        <w:tblW w:w="924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98" w:type="dxa"/>
                          <w:bottom w:w="0" w:type="dxa"/>
                          <w:right w:w="108" w:type="dxa"/>
                        </w:tblCellMar>
                        <w:tblLook w:noVBand="1" w:val="04a0" w:noHBand="0" w:lastColumn="0" w:firstColumn="1" w:lastRow="0" w:firstRow="1"/>
                      </w:tblPr>
                      <w:tblGrid>
                        <w:gridCol w:w="4620"/>
                        <w:gridCol w:w="4619"/>
                      </w:tblGrid>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 xml:space="preserve">Type of structure </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 xml:space="preserve">Strain % at which the structure breaks </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only</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12</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(SLG-20) + 8 % RCP-MS</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150</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Alginate (SLG-20) + 8 % RCP-MS+GDL</w:t>
                            </w:r>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r>
                              <w:rPr>
                                <w:rFonts w:eastAsia="MS Mincho" w:cs="Times New Roman" w:ascii="Times New Roman" w:hAnsi="Times New Roman"/>
                                <w:sz w:val="24"/>
                                <w:szCs w:val="24"/>
                                <w:lang w:eastAsia="ja-JP"/>
                              </w:rPr>
                              <w:t>&gt;167</w:t>
                            </w:r>
                          </w:p>
                        </w:tc>
                      </w:tr>
                      <w:tr>
                        <w:trPr/>
                        <w:tc>
                          <w:tcPr>
                            <w:tcW w:w="462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bookmarkStart w:id="125" w:name="__UnoMark__4574_1302293411"/>
                            <w:bookmarkEnd w:id="125"/>
                            <w:r>
                              <w:rPr>
                                <w:rFonts w:eastAsia="MS Mincho" w:cs="Times New Roman" w:ascii="Times New Roman" w:hAnsi="Times New Roman"/>
                                <w:sz w:val="24"/>
                                <w:szCs w:val="24"/>
                                <w:lang w:val="it-IT" w:eastAsia="ja-JP"/>
                              </w:rPr>
                              <w:t>Alginate +CaCO</w:t>
                            </w:r>
                            <w:r>
                              <w:rPr>
                                <w:rFonts w:eastAsia="MS Mincho" w:cs="Times New Roman" w:ascii="Times New Roman" w:hAnsi="Times New Roman"/>
                                <w:sz w:val="24"/>
                                <w:szCs w:val="24"/>
                                <w:vertAlign w:val="subscript"/>
                                <w:lang w:val="it-IT" w:eastAsia="ja-JP"/>
                              </w:rPr>
                              <w:t>3</w:t>
                            </w:r>
                            <w:r>
                              <w:rPr>
                                <w:rFonts w:eastAsia="MS Mincho" w:cs="Times New Roman" w:ascii="Times New Roman" w:hAnsi="Times New Roman"/>
                                <w:sz w:val="24"/>
                                <w:szCs w:val="24"/>
                                <w:lang w:val="it-IT" w:eastAsia="ja-JP"/>
                              </w:rPr>
                              <w:t xml:space="preserve"> (1 µm size) + GDL</w:t>
                            </w:r>
                            <w:bookmarkStart w:id="126" w:name="__UnoMark__4575_1302293411"/>
                            <w:bookmarkEnd w:id="126"/>
                          </w:p>
                        </w:tc>
                        <w:tc>
                          <w:tcPr>
                            <w:tcW w:w="461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0"/>
                              <w:rPr/>
                            </w:pPr>
                            <w:bookmarkStart w:id="127" w:name="__UnoMark__4576_1302293411"/>
                            <w:bookmarkEnd w:id="127"/>
                            <w:r>
                              <w:rPr>
                                <w:rFonts w:eastAsia="MS Mincho" w:cs="Times New Roman" w:ascii="Times New Roman" w:hAnsi="Times New Roman"/>
                                <w:sz w:val="24"/>
                                <w:szCs w:val="24"/>
                                <w:lang w:eastAsia="ja-JP"/>
                              </w:rPr>
                              <w:t>40</w:t>
                            </w:r>
                          </w:p>
                        </w:tc>
                      </w:tr>
                    </w:tbl>
                  </w:txbxContent>
                </v:textbox>
                <w10:wrap type="square"/>
              </v:rect>
            </w:pict>
          </mc:Fallback>
        </mc:AlternateContent>
      </w:r>
    </w:p>
    <w:p>
      <w:pPr>
        <w:pStyle w:val="Normal"/>
        <w:spacing w:lineRule="auto" w:line="240" w:before="0" w:after="0"/>
        <w:rPr>
          <w:rFonts w:ascii="Times New Roman" w:hAnsi="Times New Roman" w:eastAsia="MS Mincho" w:cs="Times New Roman"/>
          <w:sz w:val="24"/>
          <w:szCs w:val="24"/>
          <w:lang w:val="en-GB" w:eastAsia="ja-JP"/>
        </w:rPr>
      </w:pPr>
      <w:r>
        <w:rPr>
          <w:rFonts w:eastAsia="MS Mincho" w:cs="Times New Roman" w:ascii="Times New Roman" w:hAnsi="Times New Roman"/>
          <w:sz w:val="24"/>
          <w:szCs w:val="24"/>
          <w:lang w:val="en-GB"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jc w:val="center"/>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drawing>
          <wp:anchor behindDoc="0" distT="0" distB="0" distL="114300" distR="114300" simplePos="0" locked="0" layoutInCell="1" allowOverlap="1" relativeHeight="7">
            <wp:simplePos x="0" y="0"/>
            <wp:positionH relativeFrom="margin">
              <wp:posOffset>563245</wp:posOffset>
            </wp:positionH>
            <wp:positionV relativeFrom="margin">
              <wp:posOffset>-296545</wp:posOffset>
            </wp:positionV>
            <wp:extent cx="6094730" cy="4006850"/>
            <wp:effectExtent l="0" t="0" r="0" b="0"/>
            <wp:wrapSquare wrapText="bothSides"/>
            <wp:docPr id="1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
                    <pic:cNvPicPr>
                      <a:picLocks noChangeAspect="1" noChangeArrowheads="1"/>
                    </pic:cNvPicPr>
                  </pic:nvPicPr>
                  <pic:blipFill>
                    <a:blip r:embed="rId10"/>
                    <a:stretch>
                      <a:fillRect/>
                    </a:stretch>
                  </pic:blipFill>
                  <pic:spPr bwMode="auto">
                    <a:xfrm>
                      <a:off x="0" y="0"/>
                      <a:ext cx="6094730" cy="4006850"/>
                    </a:xfrm>
                    <a:prstGeom prst="rect">
                      <a:avLst/>
                    </a:prstGeom>
                  </pic:spPr>
                </pic:pic>
              </a:graphicData>
            </a:graphic>
          </wp:anchor>
        </w:drawing>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Cs/>
          <w:i/>
          <w:i/>
          <w:iCs/>
          <w:sz w:val="24"/>
          <w:szCs w:val="24"/>
          <w:lang w:val="en-GB" w:eastAsia="ja-JP"/>
        </w:rPr>
      </w:pPr>
      <w:r>
        <w:rPr>
          <w:rFonts w:eastAsia="MS Mincho" w:cs="Times New Roman" w:ascii="Times New Roman" w:hAnsi="Times New Roman"/>
          <w:b/>
          <w:bCs/>
          <w:iCs/>
          <w:sz w:val="24"/>
          <w:szCs w:val="24"/>
          <w:lang w:eastAsia="ja-JP"/>
        </w:rPr>
        <w:t xml:space="preserve">Figure S1. </w:t>
      </w:r>
      <w:r>
        <w:rPr>
          <w:rFonts w:eastAsia="MS Mincho" w:cs="Times New Roman" w:ascii="Times New Roman" w:hAnsi="Times New Roman"/>
          <w:bCs/>
          <w:iCs/>
          <w:sz w:val="24"/>
          <w:szCs w:val="24"/>
          <w:lang w:eastAsia="ja-JP"/>
        </w:rPr>
        <w:t xml:space="preserve">Scanning electron microscopy (left) and </w:t>
      </w:r>
      <w:r>
        <w:rPr>
          <w:rFonts w:eastAsia="MS Mincho" w:cs="Times New Roman" w:ascii="Times New Roman" w:hAnsi="Times New Roman"/>
          <w:bCs/>
          <w:iCs/>
          <w:sz w:val="24"/>
          <w:szCs w:val="24"/>
          <w:lang w:val="en-GB" w:eastAsia="ja-JP"/>
        </w:rPr>
        <w:t>energy-dispersive X-ray spectroscopy (right) mapping of RCP-MSafter (upper lane) and before CaCO</w:t>
      </w:r>
      <w:r>
        <w:rPr>
          <w:rFonts w:eastAsia="MS Mincho" w:cs="Times New Roman" w:ascii="Times New Roman" w:hAnsi="Times New Roman"/>
          <w:bCs/>
          <w:iCs/>
          <w:sz w:val="24"/>
          <w:szCs w:val="24"/>
          <w:vertAlign w:val="subscript"/>
          <w:lang w:val="en-GB" w:eastAsia="ja-JP"/>
        </w:rPr>
        <w:t>3</w:t>
      </w:r>
      <w:r>
        <w:rPr>
          <w:rFonts w:eastAsia="MS Mincho" w:cs="Times New Roman" w:ascii="Times New Roman" w:hAnsi="Times New Roman"/>
          <w:bCs/>
          <w:iCs/>
          <w:sz w:val="24"/>
          <w:szCs w:val="24"/>
          <w:lang w:val="en-GB" w:eastAsia="ja-JP"/>
        </w:rPr>
        <w:t xml:space="preserve"> removal (lower lane</w:t>
      </w:r>
      <w:r>
        <w:rPr>
          <w:rFonts w:eastAsia="MS Mincho" w:cs="Times New Roman" w:ascii="Times New Roman" w:hAnsi="Times New Roman"/>
          <w:bCs/>
          <w:i/>
          <w:iCs/>
          <w:sz w:val="24"/>
          <w:szCs w:val="24"/>
          <w:lang w:val="en-GB" w:eastAsia="ja-JP"/>
        </w:rPr>
        <w:t>).</w:t>
      </w:r>
    </w:p>
    <w:p>
      <w:pPr>
        <w:pStyle w:val="Normal"/>
        <w:spacing w:lineRule="auto" w:line="240" w:before="0" w:after="0"/>
        <w:rPr>
          <w:rFonts w:ascii="Times New Roman" w:hAnsi="Times New Roman" w:eastAsia="MS Mincho" w:cs="Times New Roman"/>
          <w:bCs/>
          <w:i/>
          <w:i/>
          <w:iCs/>
          <w:sz w:val="24"/>
          <w:szCs w:val="24"/>
          <w:lang w:val="en-GB" w:eastAsia="ja-JP"/>
        </w:rPr>
      </w:pPr>
      <w:r>
        <w:rPr>
          <w:rFonts w:eastAsia="MS Mincho" w:cs="Times New Roman" w:ascii="Times New Roman" w:hAnsi="Times New Roman"/>
          <w:bCs/>
          <w:i/>
          <w:iCs/>
          <w:sz w:val="24"/>
          <w:szCs w:val="24"/>
          <w:lang w:val="en-GB" w:eastAsia="ja-JP"/>
        </w:rPr>
      </w:r>
    </w:p>
    <w:p>
      <w:pPr>
        <w:pStyle w:val="Normal"/>
        <w:spacing w:lineRule="auto" w:line="240" w:before="0" w:after="0"/>
        <w:rPr>
          <w:rFonts w:ascii="Times New Roman" w:hAnsi="Times New Roman" w:eastAsia="MS Mincho" w:cs="Times New Roman"/>
          <w:bCs/>
          <w:i/>
          <w:i/>
          <w:iCs/>
          <w:sz w:val="24"/>
          <w:szCs w:val="24"/>
          <w:lang w:val="en-GB" w:eastAsia="ja-JP"/>
        </w:rPr>
      </w:pPr>
      <w:r>
        <w:rPr>
          <w:rFonts w:eastAsia="MS Mincho" w:cs="Times New Roman" w:ascii="Times New Roman" w:hAnsi="Times New Roman"/>
          <w:bCs/>
          <w:i/>
          <w:iCs/>
          <w:sz w:val="24"/>
          <w:szCs w:val="24"/>
          <w:lang w:val="en-GB" w:eastAsia="ja-JP"/>
        </w:rPr>
      </w:r>
    </w:p>
    <w:p>
      <w:pPr>
        <w:pStyle w:val="Normal"/>
        <w:spacing w:lineRule="auto" w:line="240" w:before="0" w:after="0"/>
        <w:rPr>
          <w:rFonts w:ascii="Times New Roman" w:hAnsi="Times New Roman" w:eastAsia="MS Mincho" w:cs="Times New Roman"/>
          <w:sz w:val="24"/>
          <w:szCs w:val="24"/>
          <w:lang w:eastAsia="ja-JP"/>
        </w:rPr>
      </w:pPr>
      <w:r>
        <w:rPr/>
        <w:drawing>
          <wp:inline distT="0" distB="6350" distL="0" distR="0">
            <wp:extent cx="5430520" cy="3080385"/>
            <wp:effectExtent l="0" t="0" r="0" b="0"/>
            <wp:docPr id="1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
                    <pic:cNvPicPr>
                      <a:picLocks noChangeAspect="1" noChangeArrowheads="1"/>
                    </pic:cNvPicPr>
                  </pic:nvPicPr>
                  <pic:blipFill>
                    <a:blip r:embed="rId11"/>
                    <a:stretch>
                      <a:fillRect/>
                    </a:stretch>
                  </pic:blipFill>
                  <pic:spPr bwMode="auto">
                    <a:xfrm>
                      <a:off x="0" y="0"/>
                      <a:ext cx="5430520" cy="3080385"/>
                    </a:xfrm>
                    <a:prstGeom prst="rect">
                      <a:avLst/>
                    </a:prstGeom>
                  </pic:spPr>
                </pic:pic>
              </a:graphicData>
            </a:graphic>
          </wp:inline>
        </w:drawing>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de-DE" w:eastAsia="ja-JP"/>
        </w:rPr>
      </w:pPr>
      <w:r>
        <w:rPr>
          <w:rFonts w:eastAsia="MS Mincho" w:cs="Times New Roman" w:ascii="Times New Roman" w:hAnsi="Times New Roman"/>
          <w:b/>
          <w:bCs/>
          <w:iCs/>
          <w:sz w:val="24"/>
          <w:szCs w:val="24"/>
          <w:lang w:val="de-DE" w:eastAsia="ja-JP"/>
        </w:rPr>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eastAsia="ja-JP"/>
        </w:rPr>
        <w:t xml:space="preserve">Figure S2. Morphology of RCP-MSshown by scanning electron microscopy (SEM). </w:t>
      </w:r>
      <w:r>
        <w:rPr>
          <w:rFonts w:eastAsia="MS Mincho" w:cs="Times New Roman" w:ascii="Times New Roman" w:hAnsi="Times New Roman"/>
          <w:iCs/>
          <w:sz w:val="24"/>
          <w:szCs w:val="24"/>
          <w:lang w:eastAsia="ja-JP"/>
        </w:rPr>
        <w:t>The CaCO</w:t>
      </w:r>
      <w:r>
        <w:rPr>
          <w:rFonts w:eastAsia="MS Mincho" w:cs="Times New Roman" w:ascii="Times New Roman" w:hAnsi="Times New Roman"/>
          <w:iCs/>
          <w:sz w:val="24"/>
          <w:szCs w:val="24"/>
          <w:vertAlign w:val="subscript"/>
          <w:lang w:eastAsia="ja-JP"/>
        </w:rPr>
        <w:t>3</w:t>
      </w:r>
      <w:r>
        <w:rPr>
          <w:rFonts w:eastAsia="MS Mincho" w:cs="Times New Roman" w:ascii="Times New Roman" w:hAnsi="Times New Roman"/>
          <w:iCs/>
          <w:sz w:val="24"/>
          <w:szCs w:val="24"/>
          <w:lang w:eastAsia="ja-JP"/>
        </w:rPr>
        <w:t xml:space="preserve"> crystals are visible on the microspheres on the left as flaky structures</w:t>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val="en-GB" w:eastAsia="ja-JP"/>
        </w:rPr>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val="en-GB" w:eastAsia="ja-JP"/>
        </w:rPr>
      </w:r>
    </w:p>
    <w:p>
      <w:pPr>
        <w:pStyle w:val="Normal"/>
        <w:spacing w:lineRule="auto" w:line="240" w:before="0" w:after="0"/>
        <w:rPr>
          <w:rFonts w:ascii="Times New Roman" w:hAnsi="Times New Roman" w:eastAsia="MS Mincho" w:cs="Times New Roman"/>
          <w:b/>
          <w:b/>
          <w:bCs/>
          <w:iCs/>
          <w:sz w:val="24"/>
          <w:szCs w:val="24"/>
          <w:lang w:val="en-GB" w:eastAsia="ja-JP"/>
        </w:rPr>
      </w:pPr>
      <w:r>
        <w:rPr/>
        <w:drawing>
          <wp:inline distT="0" distB="3175" distL="0" distR="0">
            <wp:extent cx="6897370" cy="4816475"/>
            <wp:effectExtent l="0" t="0" r="0" b="0"/>
            <wp:docPr id="2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
                    <pic:cNvPicPr>
                      <a:picLocks noChangeAspect="1" noChangeArrowheads="1"/>
                    </pic:cNvPicPr>
                  </pic:nvPicPr>
                  <pic:blipFill>
                    <a:blip r:embed="rId12"/>
                    <a:stretch>
                      <a:fillRect/>
                    </a:stretch>
                  </pic:blipFill>
                  <pic:spPr bwMode="auto">
                    <a:xfrm>
                      <a:off x="0" y="0"/>
                      <a:ext cx="6897370" cy="4816475"/>
                    </a:xfrm>
                    <a:prstGeom prst="rect">
                      <a:avLst/>
                    </a:prstGeom>
                  </pic:spPr>
                </pic:pic>
              </a:graphicData>
            </a:graphic>
          </wp:inline>
        </w:drawing>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val="en-GB" w:eastAsia="ja-JP"/>
        </w:rPr>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val="en-GB" w:eastAsia="ja-JP"/>
        </w:rPr>
      </w:r>
    </w:p>
    <w:p>
      <w:pPr>
        <w:pStyle w:val="Normal"/>
        <w:spacing w:lineRule="auto" w:line="240" w:before="0" w:after="0"/>
        <w:rPr>
          <w:rFonts w:ascii="Times New Roman" w:hAnsi="Times New Roman" w:eastAsia="MS Mincho" w:cs="Times New Roman"/>
          <w:b/>
          <w:b/>
          <w:bCs/>
          <w:iCs/>
          <w:sz w:val="24"/>
          <w:szCs w:val="24"/>
          <w:lang w:val="en-GB" w:eastAsia="ja-JP"/>
        </w:rPr>
      </w:pPr>
      <w:r>
        <w:rPr>
          <w:rFonts w:eastAsia="MS Mincho" w:cs="Times New Roman" w:ascii="Times New Roman" w:hAnsi="Times New Roman"/>
          <w:b/>
          <w:bCs/>
          <w:iCs/>
          <w:sz w:val="24"/>
          <w:szCs w:val="24"/>
          <w:lang w:val="en-GB" w:eastAsia="ja-JP"/>
        </w:rPr>
      </w:r>
    </w:p>
    <w:p>
      <w:pPr>
        <w:pStyle w:val="Normal"/>
        <w:spacing w:lineRule="auto" w:line="240" w:before="0" w:after="0"/>
        <w:rPr>
          <w:rFonts w:ascii="Times New Roman" w:hAnsi="Times New Roman" w:eastAsia="MS Mincho" w:cs="Times New Roman"/>
          <w:bCs/>
          <w:iCs/>
          <w:sz w:val="24"/>
          <w:szCs w:val="24"/>
          <w:lang w:eastAsia="ja-JP"/>
        </w:rPr>
      </w:pPr>
      <w:r>
        <w:rPr>
          <w:rFonts w:eastAsia="MS Mincho" w:cs="Times New Roman" w:ascii="Times New Roman" w:hAnsi="Times New Roman"/>
          <w:b/>
          <w:bCs/>
          <w:iCs/>
          <w:sz w:val="24"/>
          <w:szCs w:val="24"/>
          <w:lang w:val="en-GB" w:eastAsia="ja-JP"/>
        </w:rPr>
        <w:t xml:space="preserve">Figure S3. </w:t>
      </w:r>
      <w:r>
        <w:rPr>
          <w:rFonts w:eastAsia="MS Mincho" w:cs="Times New Roman" w:ascii="Times New Roman" w:hAnsi="Times New Roman"/>
          <w:bCs/>
          <w:iCs/>
          <w:sz w:val="24"/>
          <w:szCs w:val="24"/>
          <w:lang w:val="en-GB" w:eastAsia="ja-JP"/>
        </w:rPr>
        <w:t xml:space="preserve">Strain-dependent oscillatory rheology of </w:t>
      </w:r>
      <w:r>
        <w:rPr>
          <w:rFonts w:eastAsia="MS Mincho" w:cs="Times New Roman" w:ascii="Times New Roman" w:hAnsi="Times New Roman"/>
          <w:bCs/>
          <w:i/>
          <w:iCs/>
          <w:sz w:val="24"/>
          <w:szCs w:val="24"/>
          <w:lang w:val="en-GB" w:eastAsia="ja-JP"/>
        </w:rPr>
        <w:t>in situ</w:t>
      </w:r>
      <w:r>
        <w:rPr>
          <w:rFonts w:eastAsia="MS Mincho" w:cs="Times New Roman" w:ascii="Times New Roman" w:hAnsi="Times New Roman"/>
          <w:bCs/>
          <w:iCs/>
          <w:sz w:val="24"/>
          <w:szCs w:val="24"/>
          <w:lang w:val="en-GB" w:eastAsia="ja-JP"/>
        </w:rPr>
        <w:t xml:space="preserve"> gelling alginate hydrogels and of the negative controls consisting of an alginate hydrogel,</w:t>
      </w:r>
      <w:r>
        <w:rPr>
          <w:rFonts w:eastAsia="Times New Roman" w:cs="Times New Roman" w:ascii="Times New Roman" w:hAnsi="Times New Roman"/>
          <w:bCs/>
          <w:iCs/>
          <w:color w:val="000000"/>
          <w:kern w:val="2"/>
          <w:sz w:val="24"/>
          <w:szCs w:val="24"/>
          <w:lang w:val="en-GB" w:eastAsia="ja-JP"/>
        </w:rPr>
        <w:t xml:space="preserve"> </w:t>
      </w:r>
      <w:r>
        <w:rPr>
          <w:rFonts w:eastAsia="MS Mincho" w:cs="Times New Roman" w:ascii="Times New Roman" w:hAnsi="Times New Roman"/>
          <w:bCs/>
          <w:iCs/>
          <w:sz w:val="24"/>
          <w:szCs w:val="24"/>
          <w:lang w:eastAsia="ja-JP"/>
        </w:rPr>
        <w:t>crosslinked at higher calcium concentration and an alginate hydrogel containing CaCO</w:t>
      </w:r>
      <w:r>
        <w:rPr>
          <w:rFonts w:eastAsia="MS Mincho" w:cs="Times New Roman" w:ascii="Times New Roman" w:hAnsi="Times New Roman"/>
          <w:bCs/>
          <w:iCs/>
          <w:sz w:val="24"/>
          <w:szCs w:val="24"/>
          <w:vertAlign w:val="subscript"/>
          <w:lang w:eastAsia="ja-JP"/>
        </w:rPr>
        <w:t>3</w:t>
      </w:r>
      <w:r>
        <w:rPr>
          <w:rFonts w:eastAsia="MS Mincho" w:cs="Times New Roman" w:ascii="Times New Roman" w:hAnsi="Times New Roman"/>
          <w:bCs/>
          <w:iCs/>
          <w:sz w:val="24"/>
          <w:szCs w:val="24"/>
          <w:lang w:eastAsia="ja-JP"/>
        </w:rPr>
        <w:t xml:space="preserve"> particles.</w:t>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b/>
          <w:b/>
          <w:bCs/>
          <w:iCs/>
          <w:sz w:val="24"/>
          <w:szCs w:val="24"/>
          <w:lang w:eastAsia="ja-JP"/>
        </w:rPr>
      </w:pPr>
      <w:r>
        <w:rPr>
          <w:rFonts w:eastAsia="MS Mincho" w:cs="Times New Roman" w:ascii="Times New Roman" w:hAnsi="Times New Roman"/>
          <w:b/>
          <w:bCs/>
          <w:iCs/>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drawing>
          <wp:anchor behindDoc="0" distT="0" distB="0" distL="114300" distR="114300" simplePos="0" locked="0" layoutInCell="1" allowOverlap="1" relativeHeight="4">
            <wp:simplePos x="0" y="0"/>
            <wp:positionH relativeFrom="column">
              <wp:posOffset>588645</wp:posOffset>
            </wp:positionH>
            <wp:positionV relativeFrom="paragraph">
              <wp:posOffset>149225</wp:posOffset>
            </wp:positionV>
            <wp:extent cx="4420235" cy="4333240"/>
            <wp:effectExtent l="0" t="0" r="0" b="0"/>
            <wp:wrapTopAndBottom/>
            <wp:docPr id="21"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6" descr=""/>
                    <pic:cNvPicPr>
                      <a:picLocks noChangeAspect="1" noChangeArrowheads="1"/>
                    </pic:cNvPicPr>
                  </pic:nvPicPr>
                  <pic:blipFill>
                    <a:blip r:embed="rId13"/>
                    <a:stretch>
                      <a:fillRect/>
                    </a:stretch>
                  </pic:blipFill>
                  <pic:spPr bwMode="auto">
                    <a:xfrm>
                      <a:off x="0" y="0"/>
                      <a:ext cx="4420235" cy="4333240"/>
                    </a:xfrm>
                    <a:prstGeom prst="rect">
                      <a:avLst/>
                    </a:prstGeom>
                  </pic:spPr>
                </pic:pic>
              </a:graphicData>
            </a:graphic>
          </wp:anchor>
        </w:drawing>
      </w:r>
    </w:p>
    <w:p>
      <w:pPr>
        <w:pStyle w:val="Normal"/>
        <w:spacing w:lineRule="auto" w:line="240" w:before="0" w:after="0"/>
        <w:rPr>
          <w:rFonts w:ascii="Times New Roman" w:hAnsi="Times New Roman" w:eastAsia="MS Mincho" w:cs="Times New Roman"/>
          <w:sz w:val="18"/>
          <w:szCs w:val="18"/>
          <w:lang w:eastAsia="ja-JP"/>
        </w:rPr>
      </w:pPr>
      <w:r>
        <w:rPr>
          <w:rFonts w:eastAsia="MS Mincho" w:cs="Times New Roman" w:ascii="Times New Roman" w:hAnsi="Times New Roman"/>
          <w:b/>
          <w:bCs/>
          <w:iCs/>
          <w:sz w:val="24"/>
          <w:szCs w:val="24"/>
          <w:lang w:eastAsia="ja-JP"/>
        </w:rPr>
        <w:t xml:space="preserve">Figure S4. SDS-PAGE of BMP-2 protein (bands are shown inside blue rectangles). </w:t>
      </w:r>
      <w:r>
        <w:rPr>
          <w:rFonts w:eastAsia="MS Mincho" w:cs="Times New Roman" w:ascii="Times New Roman" w:hAnsi="Times New Roman"/>
          <w:iCs/>
          <w:sz w:val="24"/>
          <w:szCs w:val="24"/>
          <w:lang w:eastAsia="ja-JP"/>
        </w:rPr>
        <w:t>Lanes from left to right are: control BMP-2 solution at 15 µg/mL; marker; empty lane; HApN hydrogel after release diluted 10 times before loading; empty lane, HApN hydrogel loaded with BMP-2 (before release) diluted 10 times before loading; marker. The density of BMP-2 band after release is more intense than before release. This might be related to the higher interaction between BMP-2 and HApN initially</w:t>
      </w:r>
      <w:r>
        <w:rPr>
          <w:rFonts w:eastAsia="MS Mincho" w:cs="Times New Roman" w:ascii="Times New Roman" w:hAnsi="Times New Roman"/>
          <w:iCs/>
          <w:sz w:val="18"/>
          <w:szCs w:val="18"/>
          <w:lang w:eastAsia="ja-JP"/>
        </w:rPr>
        <w:t>.</w:t>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drawing>
          <wp:anchor behindDoc="0" distT="0" distB="3810" distL="114300" distR="114300" simplePos="0" locked="0" layoutInCell="1" allowOverlap="1" relativeHeight="6">
            <wp:simplePos x="0" y="0"/>
            <wp:positionH relativeFrom="column">
              <wp:posOffset>579120</wp:posOffset>
            </wp:positionH>
            <wp:positionV relativeFrom="paragraph">
              <wp:posOffset>184785</wp:posOffset>
            </wp:positionV>
            <wp:extent cx="4914900" cy="2301240"/>
            <wp:effectExtent l="0" t="0" r="0" b="0"/>
            <wp:wrapTopAndBottom/>
            <wp:docPr id="22"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5" descr=""/>
                    <pic:cNvPicPr>
                      <a:picLocks noChangeAspect="1" noChangeArrowheads="1"/>
                    </pic:cNvPicPr>
                  </pic:nvPicPr>
                  <pic:blipFill>
                    <a:blip r:embed="rId14"/>
                    <a:stretch>
                      <a:fillRect/>
                    </a:stretch>
                  </pic:blipFill>
                  <pic:spPr bwMode="auto">
                    <a:xfrm>
                      <a:off x="0" y="0"/>
                      <a:ext cx="4914900" cy="2301240"/>
                    </a:xfrm>
                    <a:prstGeom prst="rect">
                      <a:avLst/>
                    </a:prstGeom>
                  </pic:spPr>
                </pic:pic>
              </a:graphicData>
            </a:graphic>
          </wp:anchor>
        </w:drawing>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b/>
          <w:bCs/>
          <w:iCs/>
          <w:sz w:val="24"/>
          <w:szCs w:val="24"/>
          <w:lang w:eastAsia="ja-JP"/>
        </w:rPr>
        <w:t xml:space="preserve">Figure S5. Endochondral ossification was observed within alginate formulations since 4 week-period to the end of the experiment. </w:t>
      </w:r>
      <w:r>
        <w:rPr>
          <w:rFonts w:eastAsia="MS Mincho" w:cs="Times New Roman" w:ascii="Times New Roman" w:hAnsi="Times New Roman"/>
          <w:iCs/>
          <w:sz w:val="24"/>
          <w:szCs w:val="24"/>
          <w:lang w:eastAsia="ja-JP"/>
        </w:rPr>
        <w:t>Representative picture of alginate SLM formulation stained by H&amp;E at 4 weeks after implantation. The magnification shows collagen II positive cells within the central region of the implant.</w:t>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eastAsia="ja-JP"/>
        </w:rPr>
      </w:pPr>
      <w:r>
        <w:rPr>
          <w:rFonts w:eastAsia="MS Mincho" w:cs="Times New Roman" w:ascii="Times New Roman" w:hAnsi="Times New Roman"/>
          <w:sz w:val="24"/>
          <w:szCs w:val="24"/>
          <w:lang w:eastAsia="ja-JP"/>
        </w:rPr>
      </w:r>
    </w:p>
    <w:p>
      <w:pPr>
        <w:pStyle w:val="Normal"/>
        <w:spacing w:lineRule="auto" w:line="240" w:before="0" w:after="0"/>
        <w:rPr>
          <w:rFonts w:ascii="Times New Roman" w:hAnsi="Times New Roman" w:eastAsia="MS Mincho" w:cs="Times New Roman"/>
          <w:sz w:val="24"/>
          <w:szCs w:val="24"/>
          <w:lang w:val="en-GB" w:eastAsia="ja-JP"/>
        </w:rPr>
      </w:pPr>
      <w:r>
        <w:rPr>
          <w:rFonts w:eastAsia="MS Mincho" w:cs="Times New Roman" w:ascii="Times New Roman" w:hAnsi="Times New Roman"/>
          <w:sz w:val="24"/>
          <w:szCs w:val="24"/>
          <w:lang w:val="en-GB" w:eastAsia="ja-JP"/>
        </w:rPr>
      </w:r>
    </w:p>
    <w:p>
      <w:pPr>
        <w:pStyle w:val="EndNoteBibliography"/>
        <w:spacing w:before="240" w:after="200"/>
        <w:rPr/>
      </w:pPr>
      <w:r>
        <w:rPr/>
      </w:r>
    </w:p>
    <w:sectPr>
      <w:headerReference w:type="default" r:id="rId15"/>
      <w:footerReference w:type="default" r:id="rId16"/>
      <w:type w:val="nextPage"/>
      <w:pgSz w:w="12240" w:h="15840"/>
      <w:pgMar w:left="1134" w:right="1134" w:header="709" w:top="1134" w:footer="709"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Times-Roman">
    <w:altName w:val="Times New Roman"/>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63478777"/>
    </w:sdtPr>
    <w:sdtContent>
      <w:p>
        <w:pPr>
          <w:pStyle w:val="Footer"/>
          <w:jc w:val="right"/>
          <w:rPr/>
        </w:pPr>
        <w:r>
          <w:rPr/>
          <w:fldChar w:fldCharType="begin"/>
        </w:r>
        <w:r>
          <w:rPr/>
          <w:instrText> PAGE </w:instrText>
        </w:r>
        <w:r>
          <w:rPr/>
          <w:fldChar w:fldCharType="separate"/>
        </w:r>
        <w:r>
          <w:rPr/>
          <w:t>1</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lang w:val="es-ES"/>
      </w:rPr>
    </w:pPr>
    <w:r>
      <w:rPr/>
      <w:tab/>
      <w:tab/>
    </w:r>
    <w:r>
      <w:rPr/>
      <w:drawing>
        <wp:inline distT="0" distB="1270" distL="0" distR="0">
          <wp:extent cx="1320800" cy="361315"/>
          <wp:effectExtent l="0" t="0" r="0" b="0"/>
          <wp:docPr id="23" name="Imagen 17"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7" descr="Wiley-VCH_2"/>
                  <pic:cNvPicPr>
                    <a:picLocks noChangeAspect="1" noChangeArrowheads="1"/>
                  </pic:cNvPicPr>
                </pic:nvPicPr>
                <pic:blipFill>
                  <a:blip r:embed="rId1"/>
                  <a:stretch>
                    <a:fillRect/>
                  </a:stretch>
                </pic:blipFill>
                <pic:spPr bwMode="auto">
                  <a:xfrm>
                    <a:off x="0" y="0"/>
                    <a:ext cx="1320800" cy="36131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45830"/>
    <w:pPr>
      <w:widowControl/>
      <w:bidi w:val="0"/>
      <w:spacing w:lineRule="auto" w:line="276" w:before="24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Kop1Char"/>
    <w:uiPriority w:val="9"/>
    <w:qFormat/>
    <w:rsid w:val="006149d7"/>
    <w:pPr>
      <w:keepNext w:val="true"/>
      <w:keepLines/>
      <w:numPr>
        <w:ilvl w:val="0"/>
        <w:numId w:val="1"/>
      </w:numPr>
      <w:spacing w:before="240" w:after="0"/>
      <w:outlineLvl w:val="0"/>
    </w:pPr>
    <w:rPr>
      <w:rFonts w:ascii="Cambria" w:hAnsi="Cambria" w:eastAsia="" w:cs="" w:asciiTheme="majorHAnsi" w:cstheme="majorBidi" w:eastAsiaTheme="majorEastAsia" w:hAnsiTheme="majorHAnsi"/>
      <w:b/>
      <w:bCs/>
      <w:color w:val="000000" w:themeColor="text1"/>
      <w:sz w:val="24"/>
      <w:szCs w:val="28"/>
    </w:rPr>
  </w:style>
  <w:style w:type="paragraph" w:styleId="Heading3">
    <w:name w:val="Heading 3"/>
    <w:basedOn w:val="Normal"/>
    <w:link w:val="Kop3Char"/>
    <w:uiPriority w:val="9"/>
    <w:semiHidden/>
    <w:unhideWhenUsed/>
    <w:qFormat/>
    <w:rsid w:val="00145830"/>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ntekst"/>
    <w:uiPriority w:val="99"/>
    <w:semiHidden/>
    <w:qFormat/>
    <w:rsid w:val="00c137f1"/>
    <w:rPr>
      <w:rFonts w:ascii="Tahoma" w:hAnsi="Tahoma" w:cs="Tahoma"/>
      <w:sz w:val="16"/>
      <w:szCs w:val="16"/>
    </w:rPr>
  </w:style>
  <w:style w:type="character" w:styleId="Annotationreference">
    <w:name w:val="annotation reference"/>
    <w:basedOn w:val="DefaultParagraphFont"/>
    <w:uiPriority w:val="99"/>
    <w:semiHidden/>
    <w:unhideWhenUsed/>
    <w:qFormat/>
    <w:rsid w:val="007378b8"/>
    <w:rPr>
      <w:sz w:val="16"/>
      <w:szCs w:val="16"/>
    </w:rPr>
  </w:style>
  <w:style w:type="character" w:styleId="TekstopmerkingChar" w:customStyle="1">
    <w:name w:val="Tekst opmerking Char"/>
    <w:basedOn w:val="DefaultParagraphFont"/>
    <w:link w:val="Tekstopmerking"/>
    <w:uiPriority w:val="99"/>
    <w:qFormat/>
    <w:rsid w:val="007378b8"/>
    <w:rPr>
      <w:sz w:val="20"/>
      <w:szCs w:val="20"/>
      <w:lang w:val="en-GB"/>
    </w:rPr>
  </w:style>
  <w:style w:type="character" w:styleId="OnderwerpvanopmerkingChar" w:customStyle="1">
    <w:name w:val="Onderwerp van opmerking Char"/>
    <w:basedOn w:val="TekstopmerkingChar"/>
    <w:link w:val="Onderwerpvanopmerking"/>
    <w:uiPriority w:val="99"/>
    <w:semiHidden/>
    <w:qFormat/>
    <w:rsid w:val="007378b8"/>
    <w:rPr>
      <w:b/>
      <w:bCs/>
      <w:sz w:val="20"/>
      <w:szCs w:val="20"/>
      <w:lang w:val="en-GB"/>
    </w:rPr>
  </w:style>
  <w:style w:type="character" w:styleId="EndNoteBibliographyTitleChar" w:customStyle="1">
    <w:name w:val="EndNote Bibliography Title Char"/>
    <w:basedOn w:val="DefaultParagraphFont"/>
    <w:link w:val="EndNoteBibliographyTitle"/>
    <w:qFormat/>
    <w:rsid w:val="005d0bcc"/>
    <w:rPr>
      <w:rFonts w:ascii="Times New Roman" w:hAnsi="Times New Roman" w:cs="Times New Roman"/>
      <w:sz w:val="24"/>
    </w:rPr>
  </w:style>
  <w:style w:type="character" w:styleId="EndNoteBibliographyChar" w:customStyle="1">
    <w:name w:val="EndNote Bibliography Char"/>
    <w:basedOn w:val="DefaultParagraphFont"/>
    <w:link w:val="EndNoteBibliography"/>
    <w:qFormat/>
    <w:rsid w:val="005d0bcc"/>
    <w:rPr>
      <w:rFonts w:ascii="Times New Roman" w:hAnsi="Times New Roman" w:cs="Times New Roman"/>
      <w:sz w:val="24"/>
    </w:rPr>
  </w:style>
  <w:style w:type="character" w:styleId="InternetLink">
    <w:name w:val="Internet Link"/>
    <w:rsid w:val="00c97a15"/>
    <w:rPr>
      <w:color w:val="0000FF"/>
      <w:u w:val="single"/>
    </w:rPr>
  </w:style>
  <w:style w:type="character" w:styleId="Linenumber">
    <w:name w:val="line number"/>
    <w:basedOn w:val="DefaultParagraphFont"/>
    <w:uiPriority w:val="99"/>
    <w:semiHidden/>
    <w:unhideWhenUsed/>
    <w:qFormat/>
    <w:rsid w:val="00862660"/>
    <w:rPr/>
  </w:style>
  <w:style w:type="character" w:styleId="OndertitelChar" w:customStyle="1">
    <w:name w:val="Ondertitel Char"/>
    <w:basedOn w:val="DefaultParagraphFont"/>
    <w:link w:val="Ondertitel"/>
    <w:uiPriority w:val="11"/>
    <w:qFormat/>
    <w:rsid w:val="00a55b7f"/>
    <w:rPr>
      <w:rFonts w:eastAsia="" w:cs="" w:cstheme="majorBidi" w:eastAsiaTheme="majorEastAsia"/>
      <w:b/>
      <w:iCs/>
      <w:spacing w:val="15"/>
      <w:szCs w:val="24"/>
    </w:rPr>
  </w:style>
  <w:style w:type="character" w:styleId="Ttulo1Car" w:customStyle="1">
    <w:name w:val="Título 1 Car"/>
    <w:basedOn w:val="DefaultParagraphFont"/>
    <w:uiPriority w:val="9"/>
    <w:qFormat/>
    <w:rsid w:val="009a38a3"/>
    <w:rPr>
      <w:rFonts w:eastAsia="" w:cs="" w:cstheme="majorBidi" w:eastAsiaTheme="majorEastAsia"/>
      <w:b/>
      <w:bCs/>
      <w:sz w:val="24"/>
      <w:szCs w:val="28"/>
    </w:rPr>
  </w:style>
  <w:style w:type="character" w:styleId="Kop3Char" w:customStyle="1">
    <w:name w:val="Kop 3 Char"/>
    <w:basedOn w:val="DefaultParagraphFont"/>
    <w:link w:val="Kop3"/>
    <w:uiPriority w:val="9"/>
    <w:semiHidden/>
    <w:qFormat/>
    <w:rsid w:val="00145830"/>
    <w:rPr>
      <w:rFonts w:ascii="Cambria" w:hAnsi="Cambria" w:eastAsia="" w:cs="" w:asciiTheme="majorHAnsi" w:cstheme="majorBidi" w:eastAsiaTheme="majorEastAsia" w:hAnsiTheme="majorHAnsi"/>
      <w:b/>
      <w:bCs/>
      <w:color w:val="4F81BD" w:themeColor="accent1"/>
    </w:rPr>
  </w:style>
  <w:style w:type="character" w:styleId="Kop1Char" w:customStyle="1">
    <w:name w:val="Kop 1 Char"/>
    <w:basedOn w:val="DefaultParagraphFont"/>
    <w:link w:val="Kop1"/>
    <w:uiPriority w:val="9"/>
    <w:qFormat/>
    <w:rsid w:val="006149d7"/>
    <w:rPr>
      <w:rFonts w:ascii="Cambria" w:hAnsi="Cambria" w:eastAsia="" w:cs="" w:asciiTheme="majorHAnsi" w:cstheme="majorBidi" w:eastAsiaTheme="majorEastAsia" w:hAnsiTheme="majorHAnsi"/>
      <w:b/>
      <w:bCs/>
      <w:color w:val="000000" w:themeColor="text1"/>
      <w:sz w:val="24"/>
      <w:szCs w:val="28"/>
    </w:rPr>
  </w:style>
  <w:style w:type="character" w:styleId="KoptekstChar" w:customStyle="1">
    <w:name w:val="Koptekst Char"/>
    <w:basedOn w:val="DefaultParagraphFont"/>
    <w:link w:val="Koptekst"/>
    <w:uiPriority w:val="99"/>
    <w:qFormat/>
    <w:rsid w:val="0002602e"/>
    <w:rPr/>
  </w:style>
  <w:style w:type="character" w:styleId="VoettekstChar" w:customStyle="1">
    <w:name w:val="Voettekst Char"/>
    <w:basedOn w:val="DefaultParagraphFont"/>
    <w:link w:val="Voettekst"/>
    <w:uiPriority w:val="99"/>
    <w:qFormat/>
    <w:rsid w:val="0002602e"/>
    <w:rPr/>
  </w:style>
  <w:style w:type="character" w:styleId="FollowedHyperlink">
    <w:name w:val="FollowedHyperlink"/>
    <w:basedOn w:val="DefaultParagraphFont"/>
    <w:uiPriority w:val="99"/>
    <w:semiHidden/>
    <w:unhideWhenUsed/>
    <w:qFormat/>
    <w:rsid w:val="00fb7bc0"/>
    <w:rPr>
      <w:color w:val="800080" w:themeColor="followedHyperlink"/>
      <w:u w:val="single"/>
    </w:rPr>
  </w:style>
  <w:style w:type="character" w:styleId="UnresolvedMention" w:customStyle="1">
    <w:name w:val="Unresolved Mention"/>
    <w:basedOn w:val="DefaultParagraphFont"/>
    <w:uiPriority w:val="99"/>
    <w:semiHidden/>
    <w:unhideWhenUsed/>
    <w:qFormat/>
    <w:rsid w:val="0030526a"/>
    <w:rPr>
      <w:color w:val="808080"/>
      <w:shd w:fill="E6E6E6"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eastAsia="Calibri" w:cs=""/>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rFonts w:ascii="Times New Roman" w:hAnsi="Times New Roman" w:cs="Times New Roman"/>
      <w:sz w:val="24"/>
      <w:lang w:val="en-GB"/>
    </w:rPr>
  </w:style>
  <w:style w:type="paragraph" w:styleId="Heading">
    <w:name w:val="Heading"/>
    <w:basedOn w:val="Normal"/>
    <w:next w:val="TextBody"/>
    <w:qFormat/>
    <w:pPr>
      <w:keepNext w:val="true"/>
      <w:spacing w:before="240" w:after="120"/>
    </w:pPr>
    <w:rPr>
      <w:rFonts w:ascii="Liberation Sans" w:hAnsi="Liberation Sans" w:eastAsia="AR PL SungtiL GB"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624ee3"/>
    <w:pPr>
      <w:spacing w:before="240" w:after="200"/>
      <w:ind w:left="720" w:hanging="0"/>
      <w:contextualSpacing/>
    </w:pPr>
    <w:rPr/>
  </w:style>
  <w:style w:type="paragraph" w:styleId="NormalWeb">
    <w:name w:val="Normal (Web)"/>
    <w:basedOn w:val="Normal"/>
    <w:uiPriority w:val="99"/>
    <w:unhideWhenUsed/>
    <w:qFormat/>
    <w:rsid w:val="00d755e7"/>
    <w:pPr>
      <w:spacing w:lineRule="auto" w:line="240" w:beforeAutospacing="1" w:afterAutospacing="1"/>
    </w:pPr>
    <w:rPr>
      <w:rFonts w:ascii="Times New Roman" w:hAnsi="Times New Roman" w:eastAsia="Times New Roman" w:cs="Times New Roman"/>
      <w:sz w:val="24"/>
      <w:szCs w:val="24"/>
      <w:lang w:val="en-GB" w:eastAsia="en-GB"/>
    </w:rPr>
  </w:style>
  <w:style w:type="paragraph" w:styleId="BalloonText">
    <w:name w:val="Balloon Text"/>
    <w:basedOn w:val="Normal"/>
    <w:link w:val="BallontekstChar"/>
    <w:uiPriority w:val="99"/>
    <w:semiHidden/>
    <w:unhideWhenUsed/>
    <w:qFormat/>
    <w:rsid w:val="00c137f1"/>
    <w:pPr>
      <w:spacing w:lineRule="auto" w:line="240" w:before="240" w:after="0"/>
    </w:pPr>
    <w:rPr>
      <w:rFonts w:ascii="Tahoma" w:hAnsi="Tahoma" w:cs="Tahoma"/>
      <w:sz w:val="16"/>
      <w:szCs w:val="16"/>
    </w:rPr>
  </w:style>
  <w:style w:type="paragraph" w:styleId="BODY" w:customStyle="1">
    <w:name w:val="BODY"/>
    <w:basedOn w:val="Normal"/>
    <w:uiPriority w:val="99"/>
    <w:qFormat/>
    <w:rsid w:val="00d3687a"/>
    <w:pPr>
      <w:spacing w:lineRule="auto" w:line="240" w:before="240" w:after="0"/>
    </w:pPr>
    <w:rPr>
      <w:rFonts w:ascii="Arial" w:hAnsi="Arial" w:eastAsia="Times New Roman" w:cs="Arial"/>
      <w:sz w:val="18"/>
      <w:szCs w:val="18"/>
      <w:lang w:val="en-GB" w:eastAsia="ja-JP"/>
    </w:rPr>
  </w:style>
  <w:style w:type="paragraph" w:styleId="Normal1" w:customStyle="1">
    <w:name w:val="[Normal]"/>
    <w:uiPriority w:val="99"/>
    <w:qFormat/>
    <w:rsid w:val="00d3687a"/>
    <w:pPr>
      <w:widowControl w:val="false"/>
      <w:bidi w:val="0"/>
      <w:spacing w:lineRule="auto" w:line="240" w:before="0" w:after="0"/>
      <w:jc w:val="left"/>
    </w:pPr>
    <w:rPr>
      <w:rFonts w:ascii="Arial" w:hAnsi="Arial" w:eastAsia="Times New Roman" w:cs="Arial"/>
      <w:color w:val="auto"/>
      <w:kern w:val="0"/>
      <w:sz w:val="24"/>
      <w:szCs w:val="24"/>
      <w:lang w:val="en-GB" w:eastAsia="ja-JP" w:bidi="ar-SA"/>
    </w:rPr>
  </w:style>
  <w:style w:type="paragraph" w:styleId="Annotationtext">
    <w:name w:val="annotation text"/>
    <w:basedOn w:val="Normal"/>
    <w:link w:val="TekstopmerkingChar"/>
    <w:uiPriority w:val="99"/>
    <w:unhideWhenUsed/>
    <w:qFormat/>
    <w:rsid w:val="007378b8"/>
    <w:pPr>
      <w:spacing w:lineRule="auto" w:line="240"/>
    </w:pPr>
    <w:rPr>
      <w:sz w:val="20"/>
      <w:szCs w:val="20"/>
      <w:lang w:val="en-GB"/>
    </w:rPr>
  </w:style>
  <w:style w:type="paragraph" w:styleId="Annotationsubject">
    <w:name w:val="annotation subject"/>
    <w:basedOn w:val="Annotationtext"/>
    <w:link w:val="OnderwerpvanopmerkingChar"/>
    <w:uiPriority w:val="99"/>
    <w:semiHidden/>
    <w:unhideWhenUsed/>
    <w:qFormat/>
    <w:rsid w:val="007378b8"/>
    <w:pPr/>
    <w:rPr>
      <w:b/>
      <w:bCs/>
      <w:lang w:val="en-US"/>
    </w:rPr>
  </w:style>
  <w:style w:type="paragraph" w:styleId="EndNoteBibliographyTitle" w:customStyle="1">
    <w:name w:val="EndNote Bibliography Title"/>
    <w:basedOn w:val="Normal"/>
    <w:link w:val="EndNoteBibliographyTitleChar"/>
    <w:qFormat/>
    <w:rsid w:val="005d0bcc"/>
    <w:pPr>
      <w:spacing w:before="240" w:after="0"/>
      <w:jc w:val="center"/>
    </w:pPr>
    <w:rPr>
      <w:rFonts w:ascii="Times New Roman" w:hAnsi="Times New Roman" w:cs="Times New Roman"/>
      <w:sz w:val="24"/>
    </w:rPr>
  </w:style>
  <w:style w:type="paragraph" w:styleId="EndNoteBibliography" w:customStyle="1">
    <w:name w:val="EndNote Bibliography"/>
    <w:basedOn w:val="Normal"/>
    <w:link w:val="EndNoteBibliographyChar"/>
    <w:qFormat/>
    <w:rsid w:val="005d0bcc"/>
    <w:pPr>
      <w:spacing w:lineRule="auto" w:line="480"/>
    </w:pPr>
    <w:rPr>
      <w:rFonts w:ascii="Times New Roman" w:hAnsi="Times New Roman" w:cs="Times New Roman"/>
      <w:sz w:val="24"/>
    </w:rPr>
  </w:style>
  <w:style w:type="paragraph" w:styleId="Revision">
    <w:name w:val="Revision"/>
    <w:uiPriority w:val="99"/>
    <w:semiHidden/>
    <w:qFormat/>
    <w:rsid w:val="00bc235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Subtitle">
    <w:name w:val="Subtitle"/>
    <w:basedOn w:val="Normal"/>
    <w:link w:val="OndertitelChar"/>
    <w:uiPriority w:val="11"/>
    <w:qFormat/>
    <w:rsid w:val="00a55b7f"/>
    <w:pPr/>
    <w:rPr>
      <w:rFonts w:eastAsia="" w:cs="" w:cstheme="majorBidi" w:eastAsiaTheme="majorEastAsia"/>
      <w:b/>
      <w:iCs/>
      <w:spacing w:val="15"/>
      <w:szCs w:val="24"/>
    </w:rPr>
  </w:style>
  <w:style w:type="paragraph" w:styleId="Header">
    <w:name w:val="Header"/>
    <w:basedOn w:val="Normal"/>
    <w:link w:val="KoptekstChar"/>
    <w:uiPriority w:val="99"/>
    <w:unhideWhenUsed/>
    <w:rsid w:val="0002602e"/>
    <w:pPr>
      <w:tabs>
        <w:tab w:val="center" w:pos="4680" w:leader="none"/>
        <w:tab w:val="right" w:pos="9360" w:leader="none"/>
      </w:tabs>
      <w:spacing w:lineRule="auto" w:line="240" w:before="0" w:after="0"/>
    </w:pPr>
    <w:rPr/>
  </w:style>
  <w:style w:type="paragraph" w:styleId="Footer">
    <w:name w:val="Footer"/>
    <w:basedOn w:val="Normal"/>
    <w:link w:val="VoettekstChar"/>
    <w:uiPriority w:val="99"/>
    <w:unhideWhenUsed/>
    <w:rsid w:val="0002602e"/>
    <w:pPr>
      <w:tabs>
        <w:tab w:val="center" w:pos="4680" w:leader="none"/>
        <w:tab w:val="right" w:pos="9360" w:leader="none"/>
      </w:tabs>
      <w:spacing w:lineRule="auto" w:line="240" w:before="0" w:after="0"/>
    </w:pPr>
    <w:rPr/>
  </w:style>
  <w:style w:type="paragraph" w:styleId="TableHead" w:customStyle="1">
    <w:name w:val="TableHead"/>
    <w:basedOn w:val="Normal"/>
    <w:qFormat/>
    <w:rsid w:val="00287eed"/>
    <w:pPr>
      <w:pBdr>
        <w:top w:val="single" w:sz="4" w:space="4" w:color="FFFFFF"/>
        <w:left w:val="single" w:sz="4" w:space="4" w:color="FFFFFF"/>
        <w:bottom w:val="single" w:sz="4" w:space="4" w:color="FFFFFF"/>
        <w:right w:val="single" w:sz="4" w:space="4" w:color="FFFFFF"/>
      </w:pBdr>
      <w:spacing w:lineRule="exact" w:line="190" w:before="0" w:after="0"/>
      <w:jc w:val="both"/>
    </w:pPr>
    <w:rPr>
      <w:rFonts w:ascii="Arial" w:hAnsi="Arial" w:eastAsia="MS Mincho" w:cs="Times New Roman"/>
      <w:sz w:val="16"/>
      <w:szCs w:val="14"/>
      <w:lang w:val="en-GB" w:eastAsia="ja-JP"/>
    </w:rPr>
  </w:style>
  <w:style w:type="paragraph" w:styleId="TableBody" w:customStyle="1">
    <w:name w:val="TableBody"/>
    <w:basedOn w:val="TableHead"/>
    <w:qFormat/>
    <w:rsid w:val="00287eed"/>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table" w:styleId="Tabelraster">
    <w:name w:val="Table Grid"/>
    <w:basedOn w:val="Standaardtabel"/>
    <w:uiPriority w:val="59"/>
    <w:rsid w:val="000602ce"/>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e.farrell@erasmusmc.nl"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tif"/><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A5983-6C48-43FB-89F9-5A389209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LibreOffice/6.0.7.3$Linux_X86_64 LibreOffice_project/00m0$Build-3</Application>
  <Pages>46</Pages>
  <Words>11694</Words>
  <Characters>60109</Characters>
  <CharactersWithSpaces>71331</CharactersWithSpaces>
  <Paragraphs>235</Paragraphs>
  <Company>FUJIFILM Europe BV</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2019-02-05T07:28:00Z</dcterms:created>
  <dc:creator>Didem Mumcuoglu</dc:creator>
  <dc:description/>
  <dc:language>en-US</dc:language>
  <cp:lastModifiedBy/>
  <cp:lastPrinted>2017-10-06T14:46:00Z</cp:lastPrinted>
  <dcterms:modified xsi:type="dcterms:W3CDTF">2019-02-05T10:39:07Z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FUJIFILM Europe BV</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