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235D" w14:textId="680C6974" w:rsidR="007E1F3E" w:rsidRDefault="00AC0411" w:rsidP="004D7ABB">
      <w:pPr>
        <w:spacing w:line="360" w:lineRule="auto"/>
        <w:jc w:val="center"/>
        <w:rPr>
          <w:b/>
          <w:bCs/>
          <w:sz w:val="24"/>
          <w:szCs w:val="24"/>
          <w:lang w:val="en-US"/>
        </w:rPr>
      </w:pPr>
      <w:r w:rsidRPr="0039072A">
        <w:rPr>
          <w:b/>
          <w:bCs/>
          <w:sz w:val="24"/>
          <w:szCs w:val="24"/>
          <w:lang w:val="en-US"/>
        </w:rPr>
        <w:t xml:space="preserve">Not </w:t>
      </w:r>
      <w:r w:rsidR="007E1F3E" w:rsidRPr="0039072A">
        <w:rPr>
          <w:b/>
          <w:bCs/>
          <w:sz w:val="24"/>
          <w:szCs w:val="24"/>
          <w:lang w:val="en-US"/>
        </w:rPr>
        <w:t>Learn</w:t>
      </w:r>
      <w:r w:rsidR="00C36E44">
        <w:rPr>
          <w:b/>
          <w:bCs/>
          <w:sz w:val="24"/>
          <w:szCs w:val="24"/>
          <w:lang w:val="en-US"/>
        </w:rPr>
        <w:t>ing</w:t>
      </w:r>
      <w:r w:rsidR="007E1F3E" w:rsidRPr="0039072A">
        <w:rPr>
          <w:b/>
          <w:bCs/>
          <w:sz w:val="24"/>
          <w:szCs w:val="24"/>
          <w:lang w:val="en-US"/>
        </w:rPr>
        <w:t xml:space="preserve"> from History. </w:t>
      </w:r>
      <w:r w:rsidR="00C36E44">
        <w:rPr>
          <w:b/>
          <w:bCs/>
          <w:sz w:val="24"/>
          <w:szCs w:val="24"/>
          <w:lang w:val="en-US"/>
        </w:rPr>
        <w:t>Learning</w:t>
      </w:r>
      <w:r w:rsidR="007E1F3E" w:rsidRPr="0039072A">
        <w:rPr>
          <w:b/>
          <w:bCs/>
          <w:sz w:val="24"/>
          <w:szCs w:val="24"/>
          <w:lang w:val="en-US"/>
        </w:rPr>
        <w:t xml:space="preserve"> from COVID-19</w:t>
      </w:r>
    </w:p>
    <w:p w14:paraId="74B530B5" w14:textId="77777777" w:rsidR="00A6237E" w:rsidRPr="0039072A" w:rsidRDefault="00A6237E" w:rsidP="00310314">
      <w:pPr>
        <w:spacing w:line="360" w:lineRule="auto"/>
        <w:jc w:val="center"/>
        <w:rPr>
          <w:b/>
          <w:bCs/>
          <w:sz w:val="24"/>
          <w:szCs w:val="24"/>
          <w:lang w:val="en-US"/>
        </w:rPr>
      </w:pPr>
    </w:p>
    <w:p w14:paraId="3797EA4F" w14:textId="0A569723" w:rsidR="00310314" w:rsidRDefault="00463557" w:rsidP="0015315E">
      <w:pPr>
        <w:spacing w:line="360" w:lineRule="auto"/>
        <w:jc w:val="center"/>
        <w:rPr>
          <w:sz w:val="24"/>
          <w:szCs w:val="24"/>
          <w:lang w:val="en-US"/>
        </w:rPr>
      </w:pPr>
      <w:r>
        <w:rPr>
          <w:sz w:val="24"/>
          <w:szCs w:val="24"/>
          <w:lang w:val="en-US"/>
        </w:rPr>
        <w:t>D.R. Curtis</w:t>
      </w:r>
      <w:r w:rsidR="004D7ABB">
        <w:rPr>
          <w:sz w:val="24"/>
          <w:szCs w:val="24"/>
          <w:lang w:val="en-US"/>
        </w:rPr>
        <w:t xml:space="preserve"> and B. van </w:t>
      </w:r>
      <w:proofErr w:type="spellStart"/>
      <w:r w:rsidR="004D7ABB">
        <w:rPr>
          <w:sz w:val="24"/>
          <w:szCs w:val="24"/>
          <w:lang w:val="en-US"/>
        </w:rPr>
        <w:t>Besouw</w:t>
      </w:r>
      <w:proofErr w:type="spellEnd"/>
      <w:r w:rsidR="0015315E">
        <w:rPr>
          <w:sz w:val="24"/>
          <w:szCs w:val="24"/>
          <w:lang w:val="en-US"/>
        </w:rPr>
        <w:t xml:space="preserve">, </w:t>
      </w:r>
      <w:r w:rsidR="00310314">
        <w:rPr>
          <w:sz w:val="24"/>
          <w:szCs w:val="24"/>
          <w:lang w:val="en-US"/>
        </w:rPr>
        <w:t>Erasmus University Rotterdam</w:t>
      </w:r>
    </w:p>
    <w:p w14:paraId="36F0C28D" w14:textId="4D6474D6" w:rsidR="00101526" w:rsidRDefault="00101526" w:rsidP="0015315E">
      <w:pPr>
        <w:spacing w:line="360" w:lineRule="auto"/>
        <w:jc w:val="center"/>
        <w:rPr>
          <w:sz w:val="24"/>
          <w:szCs w:val="24"/>
          <w:lang w:val="en-US"/>
        </w:rPr>
      </w:pPr>
    </w:p>
    <w:p w14:paraId="21E318E0" w14:textId="491E3A1A" w:rsidR="00101526" w:rsidRDefault="00101526" w:rsidP="0015315E">
      <w:pPr>
        <w:spacing w:line="360" w:lineRule="auto"/>
        <w:jc w:val="center"/>
        <w:rPr>
          <w:sz w:val="24"/>
          <w:szCs w:val="24"/>
          <w:lang w:val="en-US"/>
        </w:rPr>
      </w:pPr>
      <w:r>
        <w:rPr>
          <w:sz w:val="24"/>
          <w:szCs w:val="24"/>
          <w:lang w:val="en-US"/>
        </w:rPr>
        <w:t>From 14</w:t>
      </w:r>
      <w:r w:rsidRPr="00101526">
        <w:rPr>
          <w:sz w:val="24"/>
          <w:szCs w:val="24"/>
          <w:vertAlign w:val="superscript"/>
          <w:lang w:val="en-US"/>
        </w:rPr>
        <w:t>th</w:t>
      </w:r>
      <w:r>
        <w:rPr>
          <w:sz w:val="24"/>
          <w:szCs w:val="24"/>
          <w:lang w:val="en-US"/>
        </w:rPr>
        <w:t xml:space="preserve"> April 2020, accessible at:</w:t>
      </w:r>
    </w:p>
    <w:p w14:paraId="67A43FAA" w14:textId="27A7E2F8" w:rsidR="00463557" w:rsidRDefault="00101526" w:rsidP="007E1F3E">
      <w:pPr>
        <w:spacing w:line="360" w:lineRule="auto"/>
      </w:pPr>
      <w:hyperlink r:id="rId8" w:history="1">
        <w:r>
          <w:rPr>
            <w:rStyle w:val="Hyperlink"/>
          </w:rPr>
          <w:t>https://www.wiley.com/network/researchers/covid-19-resources-for-the-research-community/not-learning-from-history-learning-from-covid-19</w:t>
        </w:r>
      </w:hyperlink>
      <w:r>
        <w:t xml:space="preserve"> </w:t>
      </w:r>
    </w:p>
    <w:p w14:paraId="6EBB10AB" w14:textId="77777777" w:rsidR="00101526" w:rsidRDefault="00101526" w:rsidP="007E1F3E">
      <w:pPr>
        <w:spacing w:line="360" w:lineRule="auto"/>
        <w:rPr>
          <w:sz w:val="24"/>
          <w:szCs w:val="24"/>
          <w:lang w:val="en-US"/>
        </w:rPr>
      </w:pPr>
    </w:p>
    <w:p w14:paraId="05F178DD" w14:textId="56BA46AF" w:rsidR="007E1F3E" w:rsidRDefault="007E1F3E" w:rsidP="007E1F3E">
      <w:pPr>
        <w:spacing w:line="360" w:lineRule="auto"/>
        <w:rPr>
          <w:sz w:val="24"/>
          <w:szCs w:val="24"/>
          <w:lang w:val="en-US"/>
        </w:rPr>
      </w:pPr>
      <w:r>
        <w:rPr>
          <w:sz w:val="24"/>
          <w:szCs w:val="24"/>
          <w:lang w:val="en-US"/>
        </w:rPr>
        <w:t xml:space="preserve">As COVID-19 continues to </w:t>
      </w:r>
      <w:r w:rsidR="005076FD">
        <w:rPr>
          <w:sz w:val="24"/>
          <w:szCs w:val="24"/>
          <w:lang w:val="en-US"/>
        </w:rPr>
        <w:t>cause further suffering</w:t>
      </w:r>
      <w:r>
        <w:rPr>
          <w:sz w:val="24"/>
          <w:szCs w:val="24"/>
          <w:lang w:val="en-US"/>
        </w:rPr>
        <w:t xml:space="preserve"> across the world, historians have suddenly been in demand. </w:t>
      </w:r>
      <w:r w:rsidR="005076FD">
        <w:rPr>
          <w:sz w:val="24"/>
          <w:szCs w:val="24"/>
          <w:lang w:val="en-US"/>
        </w:rPr>
        <w:t>Opinion pieces are piling up day after day</w:t>
      </w:r>
      <w:r w:rsidR="005E6971">
        <w:rPr>
          <w:sz w:val="24"/>
          <w:szCs w:val="24"/>
          <w:lang w:val="en-US"/>
        </w:rPr>
        <w:t>, and every historian – regardless of whether they work on epidemic disease or not – has a view</w:t>
      </w:r>
      <w:r w:rsidR="005076FD">
        <w:rPr>
          <w:sz w:val="24"/>
          <w:szCs w:val="24"/>
          <w:lang w:val="en-US"/>
        </w:rPr>
        <w:t>. W</w:t>
      </w:r>
      <w:r>
        <w:rPr>
          <w:sz w:val="24"/>
          <w:szCs w:val="24"/>
          <w:lang w:val="en-US"/>
        </w:rPr>
        <w:t xml:space="preserve">hat lessons can we draw from the influenza pandemic a century ago? Why is coronavirus not like the Black Death? </w:t>
      </w:r>
      <w:r w:rsidR="00A6237E">
        <w:rPr>
          <w:sz w:val="24"/>
          <w:szCs w:val="24"/>
          <w:lang w:val="en-US"/>
        </w:rPr>
        <w:t>Partially, of course, some of this trend can be explained by the fact that some of our public health responses – isolation and distancing, in particular – are found in historical sources going back centuries. Overall, however, w</w:t>
      </w:r>
      <w:r w:rsidR="004D7ABB">
        <w:rPr>
          <w:sz w:val="24"/>
          <w:szCs w:val="24"/>
          <w:lang w:val="en-US"/>
        </w:rPr>
        <w:t xml:space="preserve">e </w:t>
      </w:r>
      <w:r w:rsidR="004307CF">
        <w:rPr>
          <w:sz w:val="24"/>
          <w:szCs w:val="24"/>
          <w:lang w:val="en-US"/>
        </w:rPr>
        <w:t xml:space="preserve">wonder whether there is more </w:t>
      </w:r>
      <w:r w:rsidR="00A6237E">
        <w:rPr>
          <w:sz w:val="24"/>
          <w:szCs w:val="24"/>
          <w:lang w:val="en-US"/>
        </w:rPr>
        <w:t xml:space="preserve">for us as historians </w:t>
      </w:r>
      <w:r w:rsidR="004307CF">
        <w:rPr>
          <w:sz w:val="24"/>
          <w:szCs w:val="24"/>
          <w:lang w:val="en-US"/>
        </w:rPr>
        <w:t>to take</w:t>
      </w:r>
      <w:r w:rsidR="00AC0411">
        <w:rPr>
          <w:sz w:val="24"/>
          <w:szCs w:val="24"/>
          <w:lang w:val="en-US"/>
        </w:rPr>
        <w:t xml:space="preserve"> on board</w:t>
      </w:r>
      <w:r w:rsidR="004307CF">
        <w:rPr>
          <w:sz w:val="24"/>
          <w:szCs w:val="24"/>
          <w:lang w:val="en-US"/>
        </w:rPr>
        <w:t xml:space="preserve"> from COVID-19, rather than the other way around.</w:t>
      </w:r>
    </w:p>
    <w:p w14:paraId="43369365" w14:textId="13336519" w:rsidR="008075F4" w:rsidRPr="000C6144" w:rsidRDefault="009E1AAF" w:rsidP="007E1F3E">
      <w:pPr>
        <w:spacing w:line="360" w:lineRule="auto"/>
        <w:rPr>
          <w:b/>
          <w:bCs/>
          <w:sz w:val="24"/>
          <w:szCs w:val="24"/>
          <w:u w:val="single"/>
          <w:lang w:val="en-US"/>
        </w:rPr>
      </w:pPr>
      <w:r w:rsidRPr="000C6144">
        <w:rPr>
          <w:b/>
          <w:bCs/>
          <w:sz w:val="24"/>
          <w:szCs w:val="24"/>
          <w:u w:val="single"/>
          <w:lang w:val="en-US"/>
        </w:rPr>
        <w:t xml:space="preserve">Do epidemics lead to </w:t>
      </w:r>
      <w:r w:rsidR="004A5B65" w:rsidRPr="000C6144">
        <w:rPr>
          <w:b/>
          <w:bCs/>
          <w:sz w:val="24"/>
          <w:szCs w:val="24"/>
          <w:u w:val="single"/>
          <w:lang w:val="en-US"/>
        </w:rPr>
        <w:t>structural change?</w:t>
      </w:r>
    </w:p>
    <w:p w14:paraId="6EDFD497" w14:textId="337E5205" w:rsidR="00D558EB" w:rsidRDefault="004307CF" w:rsidP="007E1F3E">
      <w:pPr>
        <w:spacing w:line="360" w:lineRule="auto"/>
        <w:rPr>
          <w:sz w:val="24"/>
          <w:szCs w:val="24"/>
          <w:lang w:val="en-US"/>
        </w:rPr>
      </w:pPr>
      <w:r>
        <w:rPr>
          <w:sz w:val="24"/>
          <w:szCs w:val="24"/>
          <w:lang w:val="en-US"/>
        </w:rPr>
        <w:t xml:space="preserve">Even before COVID-19, there was a growing trend towards seeing epidemic disease outbreaks as </w:t>
      </w:r>
      <w:r w:rsidR="00114721">
        <w:rPr>
          <w:sz w:val="24"/>
          <w:szCs w:val="24"/>
          <w:lang w:val="en-US"/>
        </w:rPr>
        <w:t xml:space="preserve">truly ‘exogenous shocks’ and as </w:t>
      </w:r>
      <w:r>
        <w:rPr>
          <w:sz w:val="24"/>
          <w:szCs w:val="24"/>
          <w:lang w:val="en-US"/>
        </w:rPr>
        <w:t>catalysts for major structural change. Perhaps taking our cue from the Black Death</w:t>
      </w:r>
      <w:r w:rsidR="00207E67">
        <w:rPr>
          <w:sz w:val="24"/>
          <w:szCs w:val="24"/>
          <w:lang w:val="en-US"/>
        </w:rPr>
        <w:t>, h</w:t>
      </w:r>
      <w:r w:rsidR="00B97458">
        <w:rPr>
          <w:sz w:val="24"/>
          <w:szCs w:val="24"/>
          <w:lang w:val="en-US"/>
        </w:rPr>
        <w:t xml:space="preserve">istoriography </w:t>
      </w:r>
      <w:r>
        <w:rPr>
          <w:sz w:val="24"/>
          <w:szCs w:val="24"/>
          <w:lang w:val="en-US"/>
        </w:rPr>
        <w:t xml:space="preserve">has tended to emphasize this plague as a watershed moment precipitating </w:t>
      </w:r>
      <w:r w:rsidRPr="004307CF">
        <w:rPr>
          <w:sz w:val="24"/>
          <w:szCs w:val="24"/>
          <w:lang w:val="en-US"/>
        </w:rPr>
        <w:t>radical and lasting changes within economy, society, politics, health and culture</w:t>
      </w:r>
      <w:r w:rsidR="002D1D3C">
        <w:rPr>
          <w:sz w:val="24"/>
          <w:szCs w:val="24"/>
          <w:lang w:val="en-US"/>
        </w:rPr>
        <w:t>.</w:t>
      </w:r>
      <w:r>
        <w:rPr>
          <w:sz w:val="24"/>
          <w:szCs w:val="24"/>
          <w:lang w:val="en-US"/>
        </w:rPr>
        <w:t xml:space="preserve"> </w:t>
      </w:r>
      <w:r w:rsidR="00AE060E">
        <w:rPr>
          <w:sz w:val="24"/>
          <w:szCs w:val="24"/>
          <w:lang w:val="en-US"/>
        </w:rPr>
        <w:t xml:space="preserve">Diseases </w:t>
      </w:r>
      <w:r w:rsidR="00114721">
        <w:rPr>
          <w:sz w:val="24"/>
          <w:szCs w:val="24"/>
          <w:lang w:val="en-US"/>
        </w:rPr>
        <w:t xml:space="preserve">– </w:t>
      </w:r>
      <w:r w:rsidR="00D558EB">
        <w:rPr>
          <w:sz w:val="24"/>
          <w:szCs w:val="24"/>
          <w:lang w:val="en-US"/>
        </w:rPr>
        <w:t>sometimes in conjunction with other climatic pressures</w:t>
      </w:r>
      <w:r w:rsidR="00114721">
        <w:rPr>
          <w:sz w:val="24"/>
          <w:szCs w:val="24"/>
          <w:lang w:val="en-US"/>
        </w:rPr>
        <w:t xml:space="preserve"> – </w:t>
      </w:r>
      <w:r>
        <w:rPr>
          <w:sz w:val="24"/>
          <w:szCs w:val="24"/>
          <w:lang w:val="en-US"/>
        </w:rPr>
        <w:t xml:space="preserve">have suddenly been held responsible </w:t>
      </w:r>
      <w:r w:rsidRPr="004307CF">
        <w:rPr>
          <w:sz w:val="24"/>
          <w:szCs w:val="24"/>
          <w:lang w:val="en-US"/>
        </w:rPr>
        <w:t>for the</w:t>
      </w:r>
      <w:r w:rsidR="00D558EB">
        <w:rPr>
          <w:sz w:val="24"/>
          <w:szCs w:val="24"/>
          <w:lang w:val="en-US"/>
        </w:rPr>
        <w:t xml:space="preserve"> leveling of economic inequalities, the</w:t>
      </w:r>
      <w:r w:rsidRPr="004307CF">
        <w:rPr>
          <w:sz w:val="24"/>
          <w:szCs w:val="24"/>
          <w:lang w:val="en-US"/>
        </w:rPr>
        <w:t xml:space="preserve"> decline of empires,</w:t>
      </w:r>
      <w:r w:rsidR="00D558EB">
        <w:rPr>
          <w:sz w:val="24"/>
          <w:szCs w:val="24"/>
          <w:lang w:val="en-US"/>
        </w:rPr>
        <w:t xml:space="preserve"> the</w:t>
      </w:r>
      <w:r w:rsidRPr="004307CF">
        <w:rPr>
          <w:sz w:val="24"/>
          <w:szCs w:val="24"/>
          <w:lang w:val="en-US"/>
        </w:rPr>
        <w:t xml:space="preserve"> transition of economies of entire world regions, or the reversal of economic fortunes between regions</w:t>
      </w:r>
      <w:r>
        <w:rPr>
          <w:sz w:val="24"/>
          <w:szCs w:val="24"/>
          <w:lang w:val="en-US"/>
        </w:rPr>
        <w:t>.</w:t>
      </w:r>
      <w:r w:rsidR="00D558EB">
        <w:rPr>
          <w:sz w:val="24"/>
          <w:szCs w:val="24"/>
          <w:lang w:val="en-US"/>
        </w:rPr>
        <w:t xml:space="preserve"> </w:t>
      </w:r>
      <w:r w:rsidR="00D21174">
        <w:rPr>
          <w:sz w:val="24"/>
          <w:szCs w:val="24"/>
          <w:lang w:val="en-US"/>
        </w:rPr>
        <w:t xml:space="preserve">The devastation of COVID-19 will likely </w:t>
      </w:r>
      <w:r w:rsidR="00617AA8">
        <w:rPr>
          <w:sz w:val="24"/>
          <w:szCs w:val="24"/>
          <w:lang w:val="en-US"/>
        </w:rPr>
        <w:t xml:space="preserve">only </w:t>
      </w:r>
      <w:r w:rsidR="00D21174">
        <w:rPr>
          <w:sz w:val="24"/>
          <w:szCs w:val="24"/>
          <w:lang w:val="en-US"/>
        </w:rPr>
        <w:t>encourage more of the</w:t>
      </w:r>
      <w:r w:rsidR="00617AA8">
        <w:rPr>
          <w:sz w:val="24"/>
          <w:szCs w:val="24"/>
          <w:lang w:val="en-US"/>
        </w:rPr>
        <w:t>se</w:t>
      </w:r>
      <w:r w:rsidR="00D21174">
        <w:rPr>
          <w:sz w:val="24"/>
          <w:szCs w:val="24"/>
          <w:lang w:val="en-US"/>
        </w:rPr>
        <w:t xml:space="preserve"> maximalist and cataclysmic style histories over the next few years.</w:t>
      </w:r>
    </w:p>
    <w:p w14:paraId="0BADDCF5" w14:textId="77755C8A" w:rsidR="00D21174" w:rsidRDefault="00D558EB" w:rsidP="007E1F3E">
      <w:pPr>
        <w:spacing w:line="360" w:lineRule="auto"/>
        <w:rPr>
          <w:sz w:val="24"/>
          <w:szCs w:val="24"/>
          <w:lang w:val="en-US"/>
        </w:rPr>
      </w:pPr>
      <w:r>
        <w:rPr>
          <w:sz w:val="24"/>
          <w:szCs w:val="24"/>
          <w:lang w:val="en-US"/>
        </w:rPr>
        <w:t>However, it should also be</w:t>
      </w:r>
      <w:r w:rsidRPr="00D558EB">
        <w:rPr>
          <w:sz w:val="24"/>
          <w:szCs w:val="24"/>
          <w:lang w:val="en-US"/>
        </w:rPr>
        <w:t xml:space="preserve"> emphasize</w:t>
      </w:r>
      <w:r>
        <w:rPr>
          <w:sz w:val="24"/>
          <w:szCs w:val="24"/>
          <w:lang w:val="en-US"/>
        </w:rPr>
        <w:t>d</w:t>
      </w:r>
      <w:r w:rsidRPr="00D558EB">
        <w:rPr>
          <w:sz w:val="24"/>
          <w:szCs w:val="24"/>
          <w:lang w:val="en-US"/>
        </w:rPr>
        <w:t xml:space="preserve"> that </w:t>
      </w:r>
      <w:r w:rsidR="00D21174">
        <w:rPr>
          <w:sz w:val="24"/>
          <w:szCs w:val="24"/>
          <w:lang w:val="en-US"/>
        </w:rPr>
        <w:t xml:space="preserve">for the pre-industrial period at least, </w:t>
      </w:r>
      <w:r w:rsidRPr="00D558EB">
        <w:rPr>
          <w:sz w:val="24"/>
          <w:szCs w:val="24"/>
          <w:lang w:val="en-US"/>
        </w:rPr>
        <w:t xml:space="preserve">epidemics were </w:t>
      </w:r>
      <w:r>
        <w:rPr>
          <w:sz w:val="24"/>
          <w:szCs w:val="24"/>
          <w:lang w:val="en-US"/>
        </w:rPr>
        <w:t>often</w:t>
      </w:r>
      <w:r w:rsidRPr="00D558EB">
        <w:rPr>
          <w:sz w:val="24"/>
          <w:szCs w:val="24"/>
          <w:lang w:val="en-US"/>
        </w:rPr>
        <w:t xml:space="preserve"> </w:t>
      </w:r>
      <w:r w:rsidR="00D21174">
        <w:rPr>
          <w:sz w:val="24"/>
          <w:szCs w:val="24"/>
          <w:lang w:val="en-US"/>
        </w:rPr>
        <w:t xml:space="preserve">not </w:t>
      </w:r>
      <w:r w:rsidRPr="00D558EB">
        <w:rPr>
          <w:sz w:val="24"/>
          <w:szCs w:val="24"/>
          <w:lang w:val="en-US"/>
        </w:rPr>
        <w:t xml:space="preserve">rupture points, </w:t>
      </w:r>
      <w:r w:rsidR="00D21174">
        <w:rPr>
          <w:sz w:val="24"/>
          <w:szCs w:val="24"/>
          <w:lang w:val="en-US"/>
        </w:rPr>
        <w:t>as</w:t>
      </w:r>
      <w:r>
        <w:rPr>
          <w:sz w:val="24"/>
          <w:szCs w:val="24"/>
          <w:lang w:val="en-US"/>
        </w:rPr>
        <w:t xml:space="preserve"> c</w:t>
      </w:r>
      <w:r w:rsidRPr="00D558EB">
        <w:rPr>
          <w:sz w:val="24"/>
          <w:szCs w:val="24"/>
          <w:lang w:val="en-US"/>
        </w:rPr>
        <w:t xml:space="preserve">ommunities became aware of and accustomed to outbreaks that recurred again and again in the same places. The memory of previous epidemics was passed down through generations, and this retained knowledge informed communities, </w:t>
      </w:r>
      <w:r w:rsidRPr="00D558EB">
        <w:rPr>
          <w:sz w:val="24"/>
          <w:szCs w:val="24"/>
          <w:lang w:val="en-US"/>
        </w:rPr>
        <w:lastRenderedPageBreak/>
        <w:t>governments, families, and individuals about how to act during these anticipated hazards, and how to manage resources</w:t>
      </w:r>
      <w:r>
        <w:rPr>
          <w:sz w:val="24"/>
          <w:szCs w:val="24"/>
          <w:lang w:val="en-US"/>
        </w:rPr>
        <w:t>.</w:t>
      </w:r>
      <w:r w:rsidR="00AC0411">
        <w:rPr>
          <w:sz w:val="24"/>
          <w:szCs w:val="24"/>
          <w:lang w:val="en-US"/>
        </w:rPr>
        <w:t xml:space="preserve"> In resilience and disaster studies, this cultural memory </w:t>
      </w:r>
      <w:r w:rsidR="002D1D3C">
        <w:rPr>
          <w:sz w:val="24"/>
          <w:szCs w:val="24"/>
          <w:lang w:val="en-US"/>
        </w:rPr>
        <w:t>is often deemed</w:t>
      </w:r>
      <w:r w:rsidR="00AC0411">
        <w:rPr>
          <w:sz w:val="24"/>
          <w:szCs w:val="24"/>
          <w:lang w:val="en-US"/>
        </w:rPr>
        <w:t xml:space="preserve"> a cornerstone behind a society’s adaptive capacity.</w:t>
      </w:r>
      <w:r w:rsidR="00D21174" w:rsidRPr="00D21174">
        <w:rPr>
          <w:sz w:val="24"/>
          <w:szCs w:val="24"/>
          <w:lang w:val="en-US"/>
        </w:rPr>
        <w:t xml:space="preserve"> </w:t>
      </w:r>
      <w:r w:rsidR="00AC0411">
        <w:rPr>
          <w:sz w:val="24"/>
          <w:szCs w:val="24"/>
          <w:lang w:val="en-US"/>
        </w:rPr>
        <w:t xml:space="preserve">Accordingly, beyond a few anomalous special examples, epidemics often failed to redistribute economic resources in anything beyond a temporary </w:t>
      </w:r>
      <w:r w:rsidR="005076FD">
        <w:rPr>
          <w:sz w:val="24"/>
          <w:szCs w:val="24"/>
          <w:lang w:val="en-US"/>
        </w:rPr>
        <w:t>re</w:t>
      </w:r>
      <w:r w:rsidR="00AC0411">
        <w:rPr>
          <w:sz w:val="24"/>
          <w:szCs w:val="24"/>
          <w:lang w:val="en-US"/>
        </w:rPr>
        <w:t>alignment</w:t>
      </w:r>
      <w:r w:rsidR="00F76C53">
        <w:rPr>
          <w:sz w:val="24"/>
          <w:szCs w:val="24"/>
          <w:lang w:val="en-US"/>
        </w:rPr>
        <w:t>. I</w:t>
      </w:r>
      <w:r w:rsidR="00D21174">
        <w:rPr>
          <w:sz w:val="24"/>
          <w:szCs w:val="24"/>
          <w:lang w:val="en-US"/>
        </w:rPr>
        <w:t xml:space="preserve">nstitutions </w:t>
      </w:r>
      <w:r w:rsidR="00754F6D">
        <w:rPr>
          <w:sz w:val="24"/>
          <w:szCs w:val="24"/>
          <w:lang w:val="en-US"/>
        </w:rPr>
        <w:t>instead</w:t>
      </w:r>
      <w:r w:rsidR="00D21174">
        <w:rPr>
          <w:sz w:val="24"/>
          <w:szCs w:val="24"/>
          <w:lang w:val="en-US"/>
        </w:rPr>
        <w:t xml:space="preserve"> </w:t>
      </w:r>
      <w:r w:rsidR="00F76C53">
        <w:rPr>
          <w:sz w:val="24"/>
          <w:szCs w:val="24"/>
          <w:lang w:val="en-US"/>
        </w:rPr>
        <w:t xml:space="preserve">worked </w:t>
      </w:r>
      <w:r w:rsidR="00D21174">
        <w:rPr>
          <w:sz w:val="24"/>
          <w:szCs w:val="24"/>
          <w:lang w:val="en-US"/>
        </w:rPr>
        <w:t xml:space="preserve">to preserve the ‘status quo’ of </w:t>
      </w:r>
      <w:r w:rsidR="00AC0411">
        <w:rPr>
          <w:sz w:val="24"/>
          <w:szCs w:val="24"/>
          <w:lang w:val="en-US"/>
        </w:rPr>
        <w:t>wealth</w:t>
      </w:r>
      <w:r w:rsidR="00754F6D">
        <w:rPr>
          <w:sz w:val="24"/>
          <w:szCs w:val="24"/>
          <w:lang w:val="en-US"/>
        </w:rPr>
        <w:t xml:space="preserve"> and property</w:t>
      </w:r>
      <w:r w:rsidR="00AC0411">
        <w:rPr>
          <w:sz w:val="24"/>
          <w:szCs w:val="24"/>
          <w:lang w:val="en-US"/>
        </w:rPr>
        <w:t xml:space="preserve"> </w:t>
      </w:r>
      <w:r w:rsidR="00D21174">
        <w:rPr>
          <w:sz w:val="24"/>
          <w:szCs w:val="24"/>
          <w:lang w:val="en-US"/>
        </w:rPr>
        <w:t>distribution</w:t>
      </w:r>
      <w:r w:rsidR="00AC0411">
        <w:rPr>
          <w:sz w:val="24"/>
          <w:szCs w:val="24"/>
          <w:lang w:val="en-US"/>
        </w:rPr>
        <w:t xml:space="preserve">. Epidemics did at times provoke unrest and disorder: but paradoxically </w:t>
      </w:r>
      <w:r w:rsidR="00AC0411" w:rsidRPr="00AC0411">
        <w:rPr>
          <w:sz w:val="24"/>
          <w:szCs w:val="24"/>
          <w:lang w:val="en-US"/>
        </w:rPr>
        <w:t xml:space="preserve">to retain customary obligations, perceived freedoms and time-honored practices </w:t>
      </w:r>
      <w:r w:rsidR="00754F6D">
        <w:rPr>
          <w:sz w:val="24"/>
          <w:szCs w:val="24"/>
          <w:lang w:val="en-US"/>
        </w:rPr>
        <w:t>that were facets of ordinary life</w:t>
      </w:r>
      <w:r w:rsidR="00AC0411">
        <w:rPr>
          <w:sz w:val="24"/>
          <w:szCs w:val="24"/>
          <w:lang w:val="en-US"/>
        </w:rPr>
        <w:t>.</w:t>
      </w:r>
      <w:r w:rsidR="00085822">
        <w:rPr>
          <w:sz w:val="24"/>
          <w:szCs w:val="24"/>
          <w:lang w:val="en-US"/>
        </w:rPr>
        <w:t xml:space="preserve"> The </w:t>
      </w:r>
      <w:r w:rsidR="005076FD" w:rsidRPr="005076FD">
        <w:rPr>
          <w:sz w:val="24"/>
          <w:szCs w:val="24"/>
          <w:lang w:val="en-US"/>
        </w:rPr>
        <w:t xml:space="preserve">relationship between society and disease </w:t>
      </w:r>
      <w:r w:rsidR="00085822">
        <w:rPr>
          <w:sz w:val="24"/>
          <w:szCs w:val="24"/>
          <w:lang w:val="en-US"/>
        </w:rPr>
        <w:t>is</w:t>
      </w:r>
      <w:r w:rsidR="00085822" w:rsidRPr="005076FD">
        <w:rPr>
          <w:sz w:val="24"/>
          <w:szCs w:val="24"/>
          <w:lang w:val="en-US"/>
        </w:rPr>
        <w:t xml:space="preserve"> </w:t>
      </w:r>
      <w:r w:rsidR="005076FD" w:rsidRPr="005076FD">
        <w:rPr>
          <w:sz w:val="24"/>
          <w:szCs w:val="24"/>
          <w:lang w:val="en-US"/>
        </w:rPr>
        <w:t xml:space="preserve">one that </w:t>
      </w:r>
      <w:r w:rsidR="00085822">
        <w:rPr>
          <w:sz w:val="24"/>
          <w:szCs w:val="24"/>
          <w:lang w:val="en-US"/>
        </w:rPr>
        <w:t xml:space="preserve">has </w:t>
      </w:r>
      <w:r w:rsidR="005076FD" w:rsidRPr="005076FD">
        <w:rPr>
          <w:sz w:val="24"/>
          <w:szCs w:val="24"/>
          <w:lang w:val="en-US"/>
        </w:rPr>
        <w:t xml:space="preserve">developed </w:t>
      </w:r>
      <w:r w:rsidR="005076FD">
        <w:rPr>
          <w:sz w:val="24"/>
          <w:szCs w:val="24"/>
          <w:lang w:val="en-US"/>
        </w:rPr>
        <w:t xml:space="preserve">incrementally </w:t>
      </w:r>
      <w:r w:rsidR="005076FD" w:rsidRPr="005076FD">
        <w:rPr>
          <w:sz w:val="24"/>
          <w:szCs w:val="24"/>
          <w:lang w:val="en-US"/>
        </w:rPr>
        <w:t>over the long term rather than as sudden radical departure points.</w:t>
      </w:r>
      <w:r w:rsidR="005076FD">
        <w:rPr>
          <w:sz w:val="24"/>
          <w:szCs w:val="24"/>
          <w:lang w:val="en-US"/>
        </w:rPr>
        <w:t xml:space="preserve"> As historians, w</w:t>
      </w:r>
      <w:r w:rsidR="00D21174">
        <w:rPr>
          <w:sz w:val="24"/>
          <w:szCs w:val="24"/>
          <w:lang w:val="en-US"/>
        </w:rPr>
        <w:t xml:space="preserve">hat COVID-19’s spread </w:t>
      </w:r>
      <w:r w:rsidR="005076FD">
        <w:rPr>
          <w:sz w:val="24"/>
          <w:szCs w:val="24"/>
          <w:lang w:val="en-US"/>
        </w:rPr>
        <w:t>around the world</w:t>
      </w:r>
      <w:r w:rsidR="00D21174">
        <w:rPr>
          <w:sz w:val="24"/>
          <w:szCs w:val="24"/>
          <w:lang w:val="en-US"/>
        </w:rPr>
        <w:t xml:space="preserve"> highlights to us are some of the problems when societies </w:t>
      </w:r>
      <w:r w:rsidR="005076FD">
        <w:rPr>
          <w:sz w:val="24"/>
          <w:szCs w:val="24"/>
          <w:lang w:val="en-US"/>
        </w:rPr>
        <w:t xml:space="preserve">lose that cultural memory and instead </w:t>
      </w:r>
      <w:r w:rsidR="00D21174">
        <w:rPr>
          <w:sz w:val="24"/>
          <w:szCs w:val="24"/>
          <w:lang w:val="en-US"/>
        </w:rPr>
        <w:t>acquire a collective amnesia</w:t>
      </w:r>
      <w:r w:rsidR="00D21174" w:rsidRPr="00310314">
        <w:rPr>
          <w:lang w:val="en-GB"/>
        </w:rPr>
        <w:t xml:space="preserve"> </w:t>
      </w:r>
      <w:r w:rsidR="00D21174" w:rsidRPr="00D21174">
        <w:rPr>
          <w:sz w:val="24"/>
          <w:szCs w:val="24"/>
          <w:lang w:val="en-US"/>
        </w:rPr>
        <w:t>about the threat disease poses</w:t>
      </w:r>
      <w:r w:rsidR="005076FD">
        <w:rPr>
          <w:sz w:val="24"/>
          <w:szCs w:val="24"/>
          <w:lang w:val="en-US"/>
        </w:rPr>
        <w:t xml:space="preserve"> – </w:t>
      </w:r>
      <w:r w:rsidR="00754F6D">
        <w:rPr>
          <w:sz w:val="24"/>
          <w:szCs w:val="24"/>
          <w:lang w:val="en-US"/>
        </w:rPr>
        <w:t>a strong dysfunction in protective institutions – in a</w:t>
      </w:r>
      <w:r w:rsidR="005076FD">
        <w:rPr>
          <w:sz w:val="24"/>
          <w:szCs w:val="24"/>
          <w:lang w:val="en-US"/>
        </w:rPr>
        <w:t xml:space="preserve"> process likely exacerbated</w:t>
      </w:r>
      <w:r w:rsidR="00D21174" w:rsidRPr="00D21174">
        <w:rPr>
          <w:sz w:val="24"/>
          <w:szCs w:val="24"/>
          <w:lang w:val="en-US"/>
        </w:rPr>
        <w:t xml:space="preserve"> </w:t>
      </w:r>
      <w:r w:rsidR="005076FD">
        <w:rPr>
          <w:sz w:val="24"/>
          <w:szCs w:val="24"/>
          <w:lang w:val="en-US"/>
        </w:rPr>
        <w:t xml:space="preserve">in the West </w:t>
      </w:r>
      <w:r w:rsidR="00D21174" w:rsidRPr="00D21174">
        <w:rPr>
          <w:sz w:val="24"/>
          <w:szCs w:val="24"/>
          <w:lang w:val="en-US"/>
        </w:rPr>
        <w:t xml:space="preserve">by Orientalization and exoticization of </w:t>
      </w:r>
      <w:r w:rsidR="005076FD">
        <w:rPr>
          <w:sz w:val="24"/>
          <w:szCs w:val="24"/>
          <w:lang w:val="en-US"/>
        </w:rPr>
        <w:t>something that was initially seen as a</w:t>
      </w:r>
      <w:r w:rsidR="00D21174" w:rsidRPr="00D21174">
        <w:rPr>
          <w:sz w:val="24"/>
          <w:szCs w:val="24"/>
          <w:lang w:val="en-US"/>
        </w:rPr>
        <w:t xml:space="preserve"> ‘Chinese’ phenomenon</w:t>
      </w:r>
      <w:r w:rsidR="005076FD">
        <w:rPr>
          <w:sz w:val="24"/>
          <w:szCs w:val="24"/>
          <w:lang w:val="en-US"/>
        </w:rPr>
        <w:t>.</w:t>
      </w:r>
    </w:p>
    <w:p w14:paraId="319409F3" w14:textId="46F14DE7" w:rsidR="007562BE" w:rsidRPr="000C6144" w:rsidRDefault="007562BE" w:rsidP="007E1F3E">
      <w:pPr>
        <w:spacing w:line="360" w:lineRule="auto"/>
        <w:rPr>
          <w:b/>
          <w:bCs/>
          <w:sz w:val="24"/>
          <w:szCs w:val="24"/>
          <w:u w:val="single"/>
          <w:lang w:val="en-US"/>
        </w:rPr>
      </w:pPr>
      <w:r w:rsidRPr="000C6144">
        <w:rPr>
          <w:b/>
          <w:bCs/>
          <w:sz w:val="24"/>
          <w:szCs w:val="24"/>
          <w:u w:val="single"/>
          <w:lang w:val="en-US"/>
        </w:rPr>
        <w:t>Epidemics and Social Inequalities</w:t>
      </w:r>
    </w:p>
    <w:p w14:paraId="16BAE742" w14:textId="19C446DA" w:rsidR="00D5439E" w:rsidRDefault="00754F6D" w:rsidP="007E1F3E">
      <w:pPr>
        <w:spacing w:line="360" w:lineRule="auto"/>
        <w:rPr>
          <w:sz w:val="24"/>
          <w:szCs w:val="24"/>
          <w:lang w:val="en-US"/>
        </w:rPr>
      </w:pPr>
      <w:r>
        <w:rPr>
          <w:sz w:val="24"/>
          <w:szCs w:val="24"/>
          <w:lang w:val="en-US"/>
        </w:rPr>
        <w:t>COVID-19 also may help us reflect a little on some of the big overarching explanatory frameworks that historians are using to analyze the effects of epidemic diseases on societies and economies. One of the most popular</w:t>
      </w:r>
      <w:r w:rsidRPr="00754F6D">
        <w:rPr>
          <w:sz w:val="24"/>
          <w:szCs w:val="24"/>
          <w:lang w:val="en-US"/>
        </w:rPr>
        <w:t xml:space="preserve">, for example, </w:t>
      </w:r>
      <w:r>
        <w:rPr>
          <w:sz w:val="24"/>
          <w:szCs w:val="24"/>
          <w:lang w:val="en-US"/>
        </w:rPr>
        <w:t>is the idea that epidemics</w:t>
      </w:r>
      <w:r w:rsidRPr="00754F6D">
        <w:rPr>
          <w:sz w:val="24"/>
          <w:szCs w:val="24"/>
          <w:lang w:val="en-US"/>
        </w:rPr>
        <w:t xml:space="preserve">, alongside wars and revolutions, </w:t>
      </w:r>
      <w:r>
        <w:rPr>
          <w:sz w:val="24"/>
          <w:szCs w:val="24"/>
          <w:lang w:val="en-US"/>
        </w:rPr>
        <w:t xml:space="preserve">have been </w:t>
      </w:r>
      <w:r w:rsidRPr="00754F6D">
        <w:rPr>
          <w:sz w:val="24"/>
          <w:szCs w:val="24"/>
          <w:lang w:val="en-US"/>
        </w:rPr>
        <w:t>one of history’s ‘great levelers’ – where significant excess mortality led to equitable redistribution of economic resources</w:t>
      </w:r>
      <w:r w:rsidR="007E2FA7">
        <w:rPr>
          <w:sz w:val="24"/>
          <w:szCs w:val="24"/>
          <w:lang w:val="en-US"/>
        </w:rPr>
        <w:t xml:space="preserve"> </w:t>
      </w:r>
      <w:r w:rsidRPr="00754F6D">
        <w:rPr>
          <w:sz w:val="24"/>
          <w:szCs w:val="24"/>
          <w:lang w:val="en-US"/>
        </w:rPr>
        <w:t>– within societie</w:t>
      </w:r>
      <w:r>
        <w:rPr>
          <w:sz w:val="24"/>
          <w:szCs w:val="24"/>
          <w:lang w:val="en-US"/>
        </w:rPr>
        <w:t xml:space="preserve">s. The medium- and long-term redistributive effects of COVID-19 are </w:t>
      </w:r>
      <w:r w:rsidR="00D5439E">
        <w:rPr>
          <w:sz w:val="24"/>
          <w:szCs w:val="24"/>
          <w:lang w:val="en-US"/>
        </w:rPr>
        <w:t>as yet unknown: it remains to be seen whether it will be a great egalitarian force. However, one thing</w:t>
      </w:r>
      <w:r w:rsidR="00207E67">
        <w:rPr>
          <w:sz w:val="24"/>
          <w:szCs w:val="24"/>
          <w:lang w:val="en-US"/>
        </w:rPr>
        <w:t xml:space="preserve"> that</w:t>
      </w:r>
      <w:r w:rsidR="00D5439E">
        <w:rPr>
          <w:sz w:val="24"/>
          <w:szCs w:val="24"/>
          <w:lang w:val="en-US"/>
        </w:rPr>
        <w:t xml:space="preserve"> is for sure is that over-emphasis on</w:t>
      </w:r>
      <w:r w:rsidR="00D5439E" w:rsidRPr="00310314">
        <w:rPr>
          <w:lang w:val="en-GB"/>
        </w:rPr>
        <w:t xml:space="preserve"> </w:t>
      </w:r>
      <w:r w:rsidR="00D5439E" w:rsidRPr="00D5439E">
        <w:rPr>
          <w:sz w:val="24"/>
          <w:szCs w:val="24"/>
          <w:lang w:val="en-US"/>
        </w:rPr>
        <w:t xml:space="preserve">mechanistic frameworks </w:t>
      </w:r>
      <w:r w:rsidR="00D5439E">
        <w:rPr>
          <w:sz w:val="24"/>
          <w:szCs w:val="24"/>
          <w:lang w:val="en-US"/>
        </w:rPr>
        <w:t>and Gini coefficients obscure</w:t>
      </w:r>
      <w:r w:rsidR="00D5439E" w:rsidRPr="00D5439E">
        <w:rPr>
          <w:sz w:val="24"/>
          <w:szCs w:val="24"/>
          <w:lang w:val="en-US"/>
        </w:rPr>
        <w:t xml:space="preserve"> or diminish </w:t>
      </w:r>
      <w:r w:rsidR="00D5439E">
        <w:rPr>
          <w:sz w:val="24"/>
          <w:szCs w:val="24"/>
          <w:lang w:val="en-US"/>
        </w:rPr>
        <w:t>other elements of social vulnerability</w:t>
      </w:r>
      <w:r w:rsidR="0039072A">
        <w:rPr>
          <w:sz w:val="24"/>
          <w:szCs w:val="24"/>
          <w:lang w:val="en-US"/>
        </w:rPr>
        <w:t xml:space="preserve"> – elements that have come more clearly into view with COVID-19</w:t>
      </w:r>
      <w:r w:rsidR="00D5439E">
        <w:rPr>
          <w:sz w:val="24"/>
          <w:szCs w:val="24"/>
          <w:lang w:val="en-US"/>
        </w:rPr>
        <w:t xml:space="preserve">. </w:t>
      </w:r>
      <w:r w:rsidR="0039072A">
        <w:rPr>
          <w:sz w:val="24"/>
          <w:szCs w:val="24"/>
          <w:lang w:val="en-US"/>
        </w:rPr>
        <w:t>E</w:t>
      </w:r>
      <w:r w:rsidR="00D5439E">
        <w:rPr>
          <w:sz w:val="24"/>
          <w:szCs w:val="24"/>
          <w:lang w:val="en-US"/>
        </w:rPr>
        <w:t xml:space="preserve">ven </w:t>
      </w:r>
      <w:r w:rsidR="0039072A">
        <w:rPr>
          <w:sz w:val="24"/>
          <w:szCs w:val="24"/>
          <w:lang w:val="en-US"/>
        </w:rPr>
        <w:t xml:space="preserve">our experience </w:t>
      </w:r>
      <w:r w:rsidR="00D5439E">
        <w:rPr>
          <w:sz w:val="24"/>
          <w:szCs w:val="24"/>
          <w:lang w:val="en-US"/>
        </w:rPr>
        <w:t xml:space="preserve">in the short term reveals that the poor are less likely </w:t>
      </w:r>
      <w:r w:rsidR="00D5439E" w:rsidRPr="005B4772">
        <w:rPr>
          <w:sz w:val="24"/>
          <w:szCs w:val="24"/>
          <w:lang w:val="en-US"/>
        </w:rPr>
        <w:t>to</w:t>
      </w:r>
      <w:r w:rsidR="00D5439E">
        <w:rPr>
          <w:sz w:val="24"/>
          <w:szCs w:val="24"/>
          <w:lang w:val="en-US"/>
        </w:rPr>
        <w:t xml:space="preserve"> </w:t>
      </w:r>
      <w:r w:rsidR="008622E2">
        <w:rPr>
          <w:sz w:val="24"/>
          <w:szCs w:val="24"/>
          <w:lang w:val="en-US"/>
        </w:rPr>
        <w:t xml:space="preserve">be able to </w:t>
      </w:r>
      <w:r w:rsidR="00D5439E">
        <w:rPr>
          <w:sz w:val="24"/>
          <w:szCs w:val="24"/>
          <w:lang w:val="en-US"/>
        </w:rPr>
        <w:t>adequately</w:t>
      </w:r>
      <w:r w:rsidR="00D5439E" w:rsidRPr="005B4772">
        <w:rPr>
          <w:sz w:val="24"/>
          <w:szCs w:val="24"/>
          <w:lang w:val="en-US"/>
        </w:rPr>
        <w:t xml:space="preserve"> 'socially distance' themselves</w:t>
      </w:r>
      <w:r w:rsidR="00D5439E">
        <w:rPr>
          <w:sz w:val="24"/>
          <w:szCs w:val="24"/>
          <w:lang w:val="en-US"/>
        </w:rPr>
        <w:t xml:space="preserve">, the poor are </w:t>
      </w:r>
      <w:r w:rsidR="00D5439E" w:rsidRPr="005B4772">
        <w:rPr>
          <w:sz w:val="24"/>
          <w:szCs w:val="24"/>
          <w:lang w:val="en-US"/>
        </w:rPr>
        <w:t xml:space="preserve">more likely to be on the 'front line' </w:t>
      </w:r>
      <w:r w:rsidR="00D5439E">
        <w:rPr>
          <w:sz w:val="24"/>
          <w:szCs w:val="24"/>
          <w:lang w:val="en-US"/>
        </w:rPr>
        <w:t>exposing themselves to danger</w:t>
      </w:r>
      <w:r w:rsidR="00D5439E" w:rsidRPr="005B4772">
        <w:rPr>
          <w:sz w:val="24"/>
          <w:szCs w:val="24"/>
          <w:lang w:val="en-US"/>
        </w:rPr>
        <w:t xml:space="preserve">, and </w:t>
      </w:r>
      <w:r w:rsidR="00D5439E">
        <w:rPr>
          <w:sz w:val="24"/>
          <w:szCs w:val="24"/>
          <w:lang w:val="en-US"/>
        </w:rPr>
        <w:t>the poor</w:t>
      </w:r>
      <w:r w:rsidR="00D5439E" w:rsidRPr="005B4772">
        <w:rPr>
          <w:sz w:val="24"/>
          <w:szCs w:val="24"/>
          <w:lang w:val="en-US"/>
        </w:rPr>
        <w:t xml:space="preserve"> are</w:t>
      </w:r>
      <w:r w:rsidR="00D5439E">
        <w:rPr>
          <w:sz w:val="24"/>
          <w:szCs w:val="24"/>
          <w:lang w:val="en-US"/>
        </w:rPr>
        <w:t xml:space="preserve"> more likely</w:t>
      </w:r>
      <w:r w:rsidR="00D5439E" w:rsidRPr="005B4772">
        <w:rPr>
          <w:sz w:val="24"/>
          <w:szCs w:val="24"/>
          <w:lang w:val="en-US"/>
        </w:rPr>
        <w:t xml:space="preserve"> to lose their jobs with no kind of</w:t>
      </w:r>
      <w:r w:rsidR="00D5439E">
        <w:rPr>
          <w:sz w:val="24"/>
          <w:szCs w:val="24"/>
          <w:lang w:val="en-US"/>
        </w:rPr>
        <w:t xml:space="preserve"> resource</w:t>
      </w:r>
      <w:r w:rsidR="00D5439E" w:rsidRPr="005B4772">
        <w:rPr>
          <w:sz w:val="24"/>
          <w:szCs w:val="24"/>
          <w:lang w:val="en-US"/>
        </w:rPr>
        <w:t xml:space="preserve"> buffer or savings.</w:t>
      </w:r>
      <w:r w:rsidR="00D5439E">
        <w:rPr>
          <w:sz w:val="24"/>
          <w:szCs w:val="24"/>
          <w:lang w:val="en-US"/>
        </w:rPr>
        <w:t xml:space="preserve"> This does</w:t>
      </w:r>
      <w:r w:rsidR="005E6971">
        <w:rPr>
          <w:sz w:val="24"/>
          <w:szCs w:val="24"/>
          <w:lang w:val="en-US"/>
        </w:rPr>
        <w:t xml:space="preserve"> not </w:t>
      </w:r>
      <w:r w:rsidR="00D5439E">
        <w:rPr>
          <w:sz w:val="24"/>
          <w:szCs w:val="24"/>
          <w:lang w:val="en-US"/>
        </w:rPr>
        <w:t xml:space="preserve">sound particularly egalitarian. </w:t>
      </w:r>
    </w:p>
    <w:p w14:paraId="660ACAEE" w14:textId="77777777" w:rsidR="001D3F50" w:rsidRDefault="00D5439E" w:rsidP="0039072A">
      <w:pPr>
        <w:spacing w:line="360" w:lineRule="auto"/>
        <w:rPr>
          <w:sz w:val="24"/>
          <w:szCs w:val="24"/>
          <w:lang w:val="en-US"/>
        </w:rPr>
      </w:pPr>
      <w:r>
        <w:rPr>
          <w:sz w:val="24"/>
          <w:szCs w:val="24"/>
          <w:lang w:val="en-US"/>
        </w:rPr>
        <w:t>But also, COVID-19 has helped shine a light on other forms of structural inequality that historians working on epidemics have yet to properly</w:t>
      </w:r>
      <w:r w:rsidR="001B7302">
        <w:rPr>
          <w:sz w:val="24"/>
          <w:szCs w:val="24"/>
          <w:lang w:val="en-US"/>
        </w:rPr>
        <w:t xml:space="preserve"> or systematically</w:t>
      </w:r>
      <w:r>
        <w:rPr>
          <w:sz w:val="24"/>
          <w:szCs w:val="24"/>
          <w:lang w:val="en-US"/>
        </w:rPr>
        <w:t xml:space="preserve"> address</w:t>
      </w:r>
      <w:r w:rsidR="007E2FA7">
        <w:rPr>
          <w:sz w:val="24"/>
          <w:szCs w:val="24"/>
          <w:lang w:val="en-US"/>
        </w:rPr>
        <w:t xml:space="preserve">: </w:t>
      </w:r>
      <w:r w:rsidR="00461715">
        <w:rPr>
          <w:sz w:val="24"/>
          <w:szCs w:val="24"/>
          <w:lang w:val="en-US"/>
        </w:rPr>
        <w:t xml:space="preserve">how they affect </w:t>
      </w:r>
      <w:r w:rsidR="0039072A">
        <w:rPr>
          <w:sz w:val="24"/>
          <w:szCs w:val="24"/>
          <w:lang w:val="en-US"/>
        </w:rPr>
        <w:t xml:space="preserve">care for the frail, social mobility, but also </w:t>
      </w:r>
      <w:r>
        <w:rPr>
          <w:sz w:val="24"/>
          <w:szCs w:val="24"/>
          <w:lang w:val="en-US"/>
        </w:rPr>
        <w:t>gender</w:t>
      </w:r>
      <w:r w:rsidR="00461715">
        <w:rPr>
          <w:sz w:val="24"/>
          <w:szCs w:val="24"/>
          <w:lang w:val="en-US"/>
        </w:rPr>
        <w:t xml:space="preserve"> dynamics</w:t>
      </w:r>
      <w:r>
        <w:rPr>
          <w:sz w:val="24"/>
          <w:szCs w:val="24"/>
          <w:lang w:val="en-US"/>
        </w:rPr>
        <w:t xml:space="preserve">. </w:t>
      </w:r>
      <w:r w:rsidR="009F2B43" w:rsidRPr="00A46645">
        <w:rPr>
          <w:sz w:val="24"/>
          <w:szCs w:val="24"/>
          <w:lang w:val="en-US"/>
        </w:rPr>
        <w:t xml:space="preserve">In </w:t>
      </w:r>
      <w:r w:rsidR="009F2B43">
        <w:rPr>
          <w:sz w:val="24"/>
          <w:szCs w:val="24"/>
          <w:lang w:val="en-US"/>
        </w:rPr>
        <w:t>many parts of the world</w:t>
      </w:r>
      <w:r w:rsidR="009F2B43" w:rsidRPr="00A46645">
        <w:rPr>
          <w:sz w:val="24"/>
          <w:szCs w:val="24"/>
          <w:lang w:val="en-US"/>
        </w:rPr>
        <w:t xml:space="preserve"> during this pandemic, the majority of ‘front line’ so-called ‘key workers’ in food sales, health </w:t>
      </w:r>
      <w:r w:rsidR="009F2B43" w:rsidRPr="00A46645">
        <w:rPr>
          <w:sz w:val="24"/>
          <w:szCs w:val="24"/>
          <w:lang w:val="en-US"/>
        </w:rPr>
        <w:lastRenderedPageBreak/>
        <w:t xml:space="preserve">and social care, and education and childcare, </w:t>
      </w:r>
      <w:r w:rsidR="009F2B43">
        <w:rPr>
          <w:sz w:val="24"/>
          <w:szCs w:val="24"/>
          <w:lang w:val="en-US"/>
        </w:rPr>
        <w:t>are</w:t>
      </w:r>
      <w:r w:rsidR="009F2B43" w:rsidRPr="00A46645">
        <w:rPr>
          <w:sz w:val="24"/>
          <w:szCs w:val="24"/>
          <w:lang w:val="en-US"/>
        </w:rPr>
        <w:t xml:space="preserve"> women.</w:t>
      </w:r>
      <w:r w:rsidR="009F2B43" w:rsidRPr="009F2B43">
        <w:rPr>
          <w:sz w:val="24"/>
          <w:szCs w:val="24"/>
          <w:lang w:val="en-US"/>
        </w:rPr>
        <w:t xml:space="preserve"> </w:t>
      </w:r>
      <w:r w:rsidR="009F2B43">
        <w:rPr>
          <w:sz w:val="24"/>
          <w:szCs w:val="24"/>
          <w:lang w:val="en-US"/>
        </w:rPr>
        <w:t>N</w:t>
      </w:r>
      <w:r w:rsidR="009F2B43" w:rsidRPr="00AB0C9F">
        <w:rPr>
          <w:sz w:val="24"/>
          <w:szCs w:val="24"/>
          <w:lang w:val="en-US"/>
        </w:rPr>
        <w:t xml:space="preserve">umerous references </w:t>
      </w:r>
      <w:r w:rsidR="009F2B43">
        <w:rPr>
          <w:sz w:val="24"/>
          <w:szCs w:val="24"/>
          <w:lang w:val="en-US"/>
        </w:rPr>
        <w:t>have been</w:t>
      </w:r>
      <w:r w:rsidR="009F2B43" w:rsidRPr="00AB0C9F">
        <w:rPr>
          <w:sz w:val="24"/>
          <w:szCs w:val="24"/>
          <w:lang w:val="en-US"/>
        </w:rPr>
        <w:t xml:space="preserve"> made to the difficult negotiations taking place at the</w:t>
      </w:r>
      <w:r w:rsidR="009F2B43">
        <w:rPr>
          <w:sz w:val="24"/>
          <w:szCs w:val="24"/>
          <w:lang w:val="en-US"/>
        </w:rPr>
        <w:t xml:space="preserve"> household level about care tasks, women’s incomes, and the dangers of isolation and quarantines – and the threat of domestic abuse. This is</w:t>
      </w:r>
      <w:r w:rsidR="005E6971">
        <w:rPr>
          <w:sz w:val="24"/>
          <w:szCs w:val="24"/>
          <w:lang w:val="en-US"/>
        </w:rPr>
        <w:t xml:space="preserve"> not </w:t>
      </w:r>
      <w:r w:rsidR="009F2B43">
        <w:rPr>
          <w:sz w:val="24"/>
          <w:szCs w:val="24"/>
          <w:lang w:val="en-US"/>
        </w:rPr>
        <w:t xml:space="preserve">new with COVID-19 either. </w:t>
      </w:r>
      <w:r w:rsidR="009F2B43" w:rsidRPr="009F2B43">
        <w:rPr>
          <w:sz w:val="24"/>
          <w:szCs w:val="24"/>
          <w:lang w:val="en-US"/>
        </w:rPr>
        <w:t xml:space="preserve">Recent literature focusing on Ebola in West Africa and Zika in Brazil has </w:t>
      </w:r>
      <w:r w:rsidR="009F2B43">
        <w:rPr>
          <w:sz w:val="24"/>
          <w:szCs w:val="24"/>
          <w:lang w:val="en-US"/>
        </w:rPr>
        <w:t>pointed to compromised a</w:t>
      </w:r>
      <w:r w:rsidR="009F2B43" w:rsidRPr="009F2B43">
        <w:rPr>
          <w:sz w:val="24"/>
          <w:szCs w:val="24"/>
          <w:lang w:val="en-US"/>
        </w:rPr>
        <w:t xml:space="preserve">ccess to sexual and reproductive health </w:t>
      </w:r>
      <w:r w:rsidR="009F2B43">
        <w:rPr>
          <w:sz w:val="24"/>
          <w:szCs w:val="24"/>
          <w:lang w:val="en-US"/>
        </w:rPr>
        <w:t xml:space="preserve">resources, and inequalities in care-giving responsibilities. </w:t>
      </w:r>
      <w:r w:rsidR="0039072A">
        <w:rPr>
          <w:sz w:val="24"/>
          <w:szCs w:val="24"/>
          <w:lang w:val="en-US"/>
        </w:rPr>
        <w:t>Going further back in time to the pre-industrial period, w</w:t>
      </w:r>
      <w:r w:rsidR="001B7302">
        <w:rPr>
          <w:sz w:val="24"/>
          <w:szCs w:val="24"/>
          <w:lang w:val="en-US"/>
        </w:rPr>
        <w:t>e know anecdotally at least that</w:t>
      </w:r>
      <w:r w:rsidR="001B7302" w:rsidRPr="001B7302">
        <w:rPr>
          <w:sz w:val="24"/>
          <w:szCs w:val="24"/>
          <w:lang w:val="en-US"/>
        </w:rPr>
        <w:t xml:space="preserve"> the</w:t>
      </w:r>
      <w:r w:rsidR="001B7302">
        <w:rPr>
          <w:sz w:val="24"/>
          <w:szCs w:val="24"/>
          <w:lang w:val="en-US"/>
        </w:rPr>
        <w:t xml:space="preserve"> epidemic</w:t>
      </w:r>
      <w:r w:rsidR="001B7302" w:rsidRPr="001B7302">
        <w:rPr>
          <w:sz w:val="24"/>
          <w:szCs w:val="24"/>
          <w:lang w:val="en-US"/>
        </w:rPr>
        <w:t xml:space="preserve"> experience of women and girls was often very different to that of men and boys: from increased avenues for </w:t>
      </w:r>
      <w:r w:rsidR="005E6971">
        <w:rPr>
          <w:sz w:val="24"/>
          <w:szCs w:val="24"/>
          <w:lang w:val="en-US"/>
        </w:rPr>
        <w:t xml:space="preserve">the scapegoating and </w:t>
      </w:r>
      <w:r w:rsidR="001B7302" w:rsidRPr="001B7302">
        <w:rPr>
          <w:sz w:val="24"/>
          <w:szCs w:val="24"/>
          <w:lang w:val="en-US"/>
        </w:rPr>
        <w:t>social control</w:t>
      </w:r>
      <w:r w:rsidR="002D1D3C">
        <w:rPr>
          <w:sz w:val="24"/>
          <w:szCs w:val="24"/>
          <w:lang w:val="en-US"/>
        </w:rPr>
        <w:t xml:space="preserve"> </w:t>
      </w:r>
      <w:r w:rsidR="005E6971">
        <w:rPr>
          <w:sz w:val="24"/>
          <w:szCs w:val="24"/>
          <w:lang w:val="en-US"/>
        </w:rPr>
        <w:t>of women</w:t>
      </w:r>
      <w:r w:rsidR="002D1D3C">
        <w:rPr>
          <w:sz w:val="24"/>
          <w:szCs w:val="24"/>
          <w:lang w:val="en-US"/>
        </w:rPr>
        <w:t xml:space="preserve"> </w:t>
      </w:r>
      <w:r w:rsidR="001B7302" w:rsidRPr="001B7302">
        <w:rPr>
          <w:sz w:val="24"/>
          <w:szCs w:val="24"/>
          <w:lang w:val="en-US"/>
        </w:rPr>
        <w:t>to women taking on various kinds of epidemic-related roles as codifiers of bodies,</w:t>
      </w:r>
      <w:r w:rsidR="001B7302">
        <w:rPr>
          <w:sz w:val="24"/>
          <w:szCs w:val="24"/>
          <w:lang w:val="en-US"/>
        </w:rPr>
        <w:t xml:space="preserve"> plague cleaners,</w:t>
      </w:r>
      <w:r w:rsidR="001B7302" w:rsidRPr="001B7302">
        <w:rPr>
          <w:sz w:val="24"/>
          <w:szCs w:val="24"/>
          <w:lang w:val="en-US"/>
        </w:rPr>
        <w:t xml:space="preserve"> caregivers, and organizers of </w:t>
      </w:r>
      <w:r w:rsidR="007E2FA7">
        <w:rPr>
          <w:sz w:val="24"/>
          <w:szCs w:val="24"/>
          <w:lang w:val="en-US"/>
        </w:rPr>
        <w:t>local</w:t>
      </w:r>
      <w:r w:rsidR="004D7ABB">
        <w:rPr>
          <w:sz w:val="24"/>
          <w:szCs w:val="24"/>
          <w:lang w:val="en-US"/>
        </w:rPr>
        <w:t xml:space="preserve"> charitable end</w:t>
      </w:r>
      <w:r w:rsidR="005E6971">
        <w:rPr>
          <w:sz w:val="24"/>
          <w:szCs w:val="24"/>
          <w:lang w:val="en-US"/>
        </w:rPr>
        <w:t>eavors</w:t>
      </w:r>
      <w:r w:rsidR="001B7302">
        <w:rPr>
          <w:sz w:val="24"/>
          <w:szCs w:val="24"/>
          <w:lang w:val="en-US"/>
        </w:rPr>
        <w:t xml:space="preserve">. </w:t>
      </w:r>
    </w:p>
    <w:p w14:paraId="5964813B" w14:textId="49E4B5D5" w:rsidR="00DB05AF" w:rsidRDefault="0039072A" w:rsidP="0039072A">
      <w:pPr>
        <w:spacing w:line="360" w:lineRule="auto"/>
        <w:rPr>
          <w:sz w:val="24"/>
          <w:szCs w:val="24"/>
          <w:lang w:val="en-US"/>
        </w:rPr>
      </w:pPr>
      <w:r>
        <w:rPr>
          <w:sz w:val="24"/>
          <w:szCs w:val="24"/>
          <w:lang w:val="en-US"/>
        </w:rPr>
        <w:t xml:space="preserve">Over the long term, </w:t>
      </w:r>
      <w:r w:rsidR="00463557">
        <w:rPr>
          <w:sz w:val="24"/>
          <w:szCs w:val="24"/>
          <w:lang w:val="en-US"/>
        </w:rPr>
        <w:t>other</w:t>
      </w:r>
      <w:r>
        <w:rPr>
          <w:sz w:val="24"/>
          <w:szCs w:val="24"/>
          <w:lang w:val="en-US"/>
        </w:rPr>
        <w:t xml:space="preserve"> questions remain only tentatively or partially answered by historians: how do epidemics </w:t>
      </w:r>
      <w:r w:rsidRPr="006900CF">
        <w:rPr>
          <w:sz w:val="24"/>
          <w:szCs w:val="24"/>
          <w:lang w:val="en-US"/>
        </w:rPr>
        <w:t>affect female access to</w:t>
      </w:r>
      <w:r w:rsidR="00461715">
        <w:rPr>
          <w:sz w:val="24"/>
          <w:szCs w:val="24"/>
          <w:lang w:val="en-US"/>
        </w:rPr>
        <w:t xml:space="preserve"> and control of</w:t>
      </w:r>
      <w:r w:rsidRPr="006900CF">
        <w:rPr>
          <w:sz w:val="24"/>
          <w:szCs w:val="24"/>
          <w:lang w:val="en-US"/>
        </w:rPr>
        <w:t xml:space="preserve"> wealth and property, access to the labor market, and </w:t>
      </w:r>
      <w:r w:rsidR="00461715">
        <w:rPr>
          <w:sz w:val="24"/>
          <w:szCs w:val="24"/>
          <w:lang w:val="en-US"/>
        </w:rPr>
        <w:t xml:space="preserve">independence from </w:t>
      </w:r>
      <w:r w:rsidR="00463557">
        <w:rPr>
          <w:sz w:val="24"/>
          <w:szCs w:val="24"/>
          <w:lang w:val="en-US"/>
        </w:rPr>
        <w:t>patriarchy</w:t>
      </w:r>
      <w:r w:rsidRPr="006900CF">
        <w:rPr>
          <w:sz w:val="24"/>
          <w:szCs w:val="24"/>
          <w:lang w:val="en-US"/>
        </w:rPr>
        <w:t>?</w:t>
      </w:r>
      <w:r>
        <w:rPr>
          <w:sz w:val="24"/>
          <w:szCs w:val="24"/>
          <w:lang w:val="en-US"/>
        </w:rPr>
        <w:t xml:space="preserve"> </w:t>
      </w:r>
      <w:r w:rsidR="00DB05AF">
        <w:rPr>
          <w:sz w:val="24"/>
          <w:szCs w:val="24"/>
          <w:lang w:val="en-US"/>
        </w:rPr>
        <w:t xml:space="preserve">On an analytical level, historical data can help us understand in which social or epidemiologic conditions epidemics </w:t>
      </w:r>
      <w:r w:rsidR="007E2FA7">
        <w:rPr>
          <w:sz w:val="24"/>
          <w:szCs w:val="24"/>
          <w:lang w:val="en-US"/>
        </w:rPr>
        <w:t xml:space="preserve">are </w:t>
      </w:r>
      <w:r w:rsidR="00DB05AF">
        <w:rPr>
          <w:sz w:val="24"/>
          <w:szCs w:val="24"/>
          <w:lang w:val="en-US"/>
        </w:rPr>
        <w:t>more likely to create unequal burdens down gender lines.</w:t>
      </w:r>
    </w:p>
    <w:p w14:paraId="66209341" w14:textId="35A7DBA4" w:rsidR="0037411A" w:rsidRPr="000C6144" w:rsidRDefault="00347399" w:rsidP="0039072A">
      <w:pPr>
        <w:spacing w:line="360" w:lineRule="auto"/>
        <w:rPr>
          <w:b/>
          <w:bCs/>
          <w:sz w:val="24"/>
          <w:szCs w:val="24"/>
          <w:u w:val="single"/>
          <w:lang w:val="en-US"/>
        </w:rPr>
      </w:pPr>
      <w:r w:rsidRPr="000C6144">
        <w:rPr>
          <w:b/>
          <w:bCs/>
          <w:sz w:val="24"/>
          <w:szCs w:val="24"/>
          <w:u w:val="single"/>
          <w:lang w:val="en-US"/>
        </w:rPr>
        <w:t>History will learn from COVID-19</w:t>
      </w:r>
    </w:p>
    <w:p w14:paraId="55824199" w14:textId="46EC6FC9" w:rsidR="00FB495C" w:rsidRPr="00463557" w:rsidRDefault="00DB05AF" w:rsidP="0039072A">
      <w:pPr>
        <w:spacing w:line="360" w:lineRule="auto"/>
        <w:rPr>
          <w:sz w:val="24"/>
          <w:szCs w:val="24"/>
          <w:lang w:val="en-US"/>
        </w:rPr>
      </w:pPr>
      <w:r>
        <w:rPr>
          <w:sz w:val="24"/>
          <w:szCs w:val="24"/>
          <w:lang w:val="en-US"/>
        </w:rPr>
        <w:t xml:space="preserve">Overall, the limited collective recognition of the dangers that epidemic diseases pose to contemporary public well-being has created an analytic fracture between the current COVID-19 crises – at least in the West – and many other outbreaks going back further into the past. That is to say COVID-19 may </w:t>
      </w:r>
      <w:r w:rsidR="007E2FA7">
        <w:rPr>
          <w:sz w:val="24"/>
          <w:szCs w:val="24"/>
          <w:lang w:val="en-US"/>
        </w:rPr>
        <w:t>entail</w:t>
      </w:r>
      <w:r>
        <w:rPr>
          <w:sz w:val="24"/>
          <w:szCs w:val="24"/>
          <w:lang w:val="en-US"/>
        </w:rPr>
        <w:t xml:space="preserve"> many features </w:t>
      </w:r>
      <w:r w:rsidR="007E2FA7">
        <w:rPr>
          <w:sz w:val="24"/>
          <w:szCs w:val="24"/>
          <w:lang w:val="en-US"/>
        </w:rPr>
        <w:t xml:space="preserve">that are </w:t>
      </w:r>
      <w:r>
        <w:rPr>
          <w:sz w:val="24"/>
          <w:szCs w:val="24"/>
          <w:lang w:val="en-US"/>
        </w:rPr>
        <w:t xml:space="preserve">not particularly </w:t>
      </w:r>
      <w:r w:rsidR="007E2FA7">
        <w:rPr>
          <w:sz w:val="24"/>
          <w:szCs w:val="24"/>
          <w:lang w:val="en-US"/>
        </w:rPr>
        <w:t>observable in historical outbreaks of epidemic disease</w:t>
      </w:r>
      <w:r>
        <w:rPr>
          <w:sz w:val="24"/>
          <w:szCs w:val="24"/>
          <w:lang w:val="en-US"/>
        </w:rPr>
        <w:t xml:space="preserve">. </w:t>
      </w:r>
      <w:r w:rsidR="00E05014">
        <w:rPr>
          <w:sz w:val="24"/>
          <w:szCs w:val="24"/>
          <w:lang w:val="en-US"/>
        </w:rPr>
        <w:t>However, b</w:t>
      </w:r>
      <w:r>
        <w:rPr>
          <w:sz w:val="24"/>
          <w:szCs w:val="24"/>
          <w:lang w:val="en-US"/>
        </w:rPr>
        <w:t xml:space="preserve">y throwing new lines of social </w:t>
      </w:r>
      <w:r w:rsidRPr="00463557">
        <w:rPr>
          <w:sz w:val="24"/>
          <w:szCs w:val="24"/>
          <w:lang w:val="en-US"/>
        </w:rPr>
        <w:t>vulnerability into view</w:t>
      </w:r>
      <w:r>
        <w:rPr>
          <w:sz w:val="24"/>
          <w:szCs w:val="24"/>
          <w:lang w:val="en-US"/>
        </w:rPr>
        <w:t xml:space="preserve">, what COVID-19 can do is make us historians </w:t>
      </w:r>
      <w:r w:rsidR="00461715" w:rsidRPr="00463557">
        <w:rPr>
          <w:sz w:val="24"/>
          <w:szCs w:val="24"/>
          <w:lang w:val="en-US"/>
        </w:rPr>
        <w:t xml:space="preserve">realize </w:t>
      </w:r>
      <w:r>
        <w:rPr>
          <w:sz w:val="24"/>
          <w:szCs w:val="24"/>
          <w:lang w:val="en-US"/>
        </w:rPr>
        <w:t xml:space="preserve">some of the deficiencies in </w:t>
      </w:r>
      <w:r w:rsidR="00461715" w:rsidRPr="00463557">
        <w:rPr>
          <w:sz w:val="24"/>
          <w:szCs w:val="24"/>
          <w:lang w:val="en-US"/>
        </w:rPr>
        <w:t xml:space="preserve">a preoccupation with </w:t>
      </w:r>
      <w:r w:rsidR="00E05014">
        <w:rPr>
          <w:sz w:val="24"/>
          <w:szCs w:val="24"/>
          <w:lang w:val="en-US"/>
        </w:rPr>
        <w:t>real wages of male urban laborers or Gini coefficients of wealth distribution</w:t>
      </w:r>
      <w:r>
        <w:rPr>
          <w:sz w:val="24"/>
          <w:szCs w:val="24"/>
          <w:lang w:val="en-US"/>
        </w:rPr>
        <w:t>.</w:t>
      </w:r>
      <w:r w:rsidR="00461715" w:rsidRPr="00463557">
        <w:rPr>
          <w:sz w:val="24"/>
          <w:szCs w:val="24"/>
          <w:lang w:val="en-US"/>
        </w:rPr>
        <w:t xml:space="preserve"> </w:t>
      </w:r>
      <w:r>
        <w:rPr>
          <w:sz w:val="24"/>
          <w:szCs w:val="24"/>
          <w:lang w:val="en-US"/>
        </w:rPr>
        <w:t>Indeed,</w:t>
      </w:r>
      <w:r w:rsidR="00461715" w:rsidRPr="00463557">
        <w:rPr>
          <w:sz w:val="24"/>
          <w:szCs w:val="24"/>
          <w:lang w:val="en-US"/>
        </w:rPr>
        <w:t xml:space="preserve"> </w:t>
      </w:r>
      <w:r w:rsidR="00461715" w:rsidRPr="00310314">
        <w:rPr>
          <w:sz w:val="24"/>
          <w:szCs w:val="24"/>
          <w:lang w:val="en-GB"/>
        </w:rPr>
        <w:t xml:space="preserve">the longer-term history of how epidemics have </w:t>
      </w:r>
      <w:r>
        <w:rPr>
          <w:sz w:val="24"/>
          <w:szCs w:val="24"/>
          <w:lang w:val="en-GB"/>
        </w:rPr>
        <w:t>impacted upon</w:t>
      </w:r>
      <w:r w:rsidR="00461715" w:rsidRPr="00310314">
        <w:rPr>
          <w:sz w:val="24"/>
          <w:szCs w:val="24"/>
          <w:lang w:val="en-GB"/>
        </w:rPr>
        <w:t xml:space="preserve"> the welfare</w:t>
      </w:r>
      <w:r w:rsidR="00461715" w:rsidRPr="00463557">
        <w:rPr>
          <w:sz w:val="24"/>
          <w:szCs w:val="24"/>
          <w:lang w:val="en-US"/>
        </w:rPr>
        <w:t xml:space="preserve"> and </w:t>
      </w:r>
      <w:r w:rsidR="00463557" w:rsidRPr="00463557">
        <w:rPr>
          <w:sz w:val="24"/>
          <w:szCs w:val="24"/>
          <w:lang w:val="en-US"/>
        </w:rPr>
        <w:t>vulnerability</w:t>
      </w:r>
      <w:r w:rsidR="00461715" w:rsidRPr="00310314">
        <w:rPr>
          <w:sz w:val="24"/>
          <w:szCs w:val="24"/>
          <w:lang w:val="en-GB"/>
        </w:rPr>
        <w:t xml:space="preserve"> of societies</w:t>
      </w:r>
      <w:r w:rsidR="00463557" w:rsidRPr="00463557">
        <w:rPr>
          <w:sz w:val="24"/>
          <w:szCs w:val="24"/>
          <w:lang w:val="en-US"/>
        </w:rPr>
        <w:t xml:space="preserve"> is yet to be properly written</w:t>
      </w:r>
      <w:r w:rsidR="00E05014">
        <w:rPr>
          <w:sz w:val="24"/>
          <w:szCs w:val="24"/>
          <w:lang w:val="en-US"/>
        </w:rPr>
        <w:t xml:space="preserve"> – including </w:t>
      </w:r>
      <w:r w:rsidR="00045320">
        <w:rPr>
          <w:sz w:val="24"/>
          <w:szCs w:val="24"/>
          <w:lang w:val="en-US"/>
        </w:rPr>
        <w:t xml:space="preserve">that of </w:t>
      </w:r>
      <w:r w:rsidR="00E05014">
        <w:rPr>
          <w:sz w:val="24"/>
          <w:szCs w:val="24"/>
          <w:lang w:val="en-US"/>
        </w:rPr>
        <w:t>the ‘hidden majority’ of women, the elderly, and children.</w:t>
      </w:r>
    </w:p>
    <w:sectPr w:rsidR="00FB495C" w:rsidRPr="00463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70812"/>
    <w:multiLevelType w:val="hybridMultilevel"/>
    <w:tmpl w:val="6FFCB4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5C"/>
    <w:rsid w:val="00045320"/>
    <w:rsid w:val="00085822"/>
    <w:rsid w:val="000C6144"/>
    <w:rsid w:val="00101526"/>
    <w:rsid w:val="00114721"/>
    <w:rsid w:val="0015315E"/>
    <w:rsid w:val="001B7302"/>
    <w:rsid w:val="001D3F50"/>
    <w:rsid w:val="00207E67"/>
    <w:rsid w:val="002201C3"/>
    <w:rsid w:val="002D1D3C"/>
    <w:rsid w:val="00310314"/>
    <w:rsid w:val="00342BD5"/>
    <w:rsid w:val="00347399"/>
    <w:rsid w:val="0037411A"/>
    <w:rsid w:val="0039072A"/>
    <w:rsid w:val="004218B0"/>
    <w:rsid w:val="004307CF"/>
    <w:rsid w:val="00461715"/>
    <w:rsid w:val="00463557"/>
    <w:rsid w:val="004A5B65"/>
    <w:rsid w:val="004B29CB"/>
    <w:rsid w:val="004D7ABB"/>
    <w:rsid w:val="005076FD"/>
    <w:rsid w:val="005E6971"/>
    <w:rsid w:val="00617AA8"/>
    <w:rsid w:val="00754F6D"/>
    <w:rsid w:val="007562BE"/>
    <w:rsid w:val="007E1F3E"/>
    <w:rsid w:val="007E2FA7"/>
    <w:rsid w:val="008075F4"/>
    <w:rsid w:val="008622E2"/>
    <w:rsid w:val="00915E8E"/>
    <w:rsid w:val="009E1AAF"/>
    <w:rsid w:val="009E3A01"/>
    <w:rsid w:val="009F2B43"/>
    <w:rsid w:val="00A6237E"/>
    <w:rsid w:val="00AC0411"/>
    <w:rsid w:val="00AE060E"/>
    <w:rsid w:val="00B97458"/>
    <w:rsid w:val="00C36E44"/>
    <w:rsid w:val="00D21174"/>
    <w:rsid w:val="00D5439E"/>
    <w:rsid w:val="00D558EB"/>
    <w:rsid w:val="00DB05AF"/>
    <w:rsid w:val="00E05014"/>
    <w:rsid w:val="00E72DA2"/>
    <w:rsid w:val="00F76C53"/>
    <w:rsid w:val="00FB495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F228"/>
  <w15:chartTrackingRefBased/>
  <w15:docId w15:val="{3184460F-D9E0-4DFC-AF49-4F29AB90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5C"/>
    <w:pPr>
      <w:ind w:left="720"/>
      <w:contextualSpacing/>
    </w:pPr>
  </w:style>
  <w:style w:type="paragraph" w:styleId="BalloonText">
    <w:name w:val="Balloon Text"/>
    <w:basedOn w:val="Normal"/>
    <w:link w:val="BalloonTextChar"/>
    <w:uiPriority w:val="99"/>
    <w:semiHidden/>
    <w:unhideWhenUsed/>
    <w:rsid w:val="00FB4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5C"/>
    <w:rPr>
      <w:rFonts w:ascii="Segoe UI" w:hAnsi="Segoe UI" w:cs="Segoe UI"/>
      <w:sz w:val="18"/>
      <w:szCs w:val="18"/>
    </w:rPr>
  </w:style>
  <w:style w:type="character" w:styleId="CommentReference">
    <w:name w:val="annotation reference"/>
    <w:basedOn w:val="DefaultParagraphFont"/>
    <w:uiPriority w:val="99"/>
    <w:semiHidden/>
    <w:unhideWhenUsed/>
    <w:rsid w:val="00B97458"/>
    <w:rPr>
      <w:sz w:val="16"/>
      <w:szCs w:val="16"/>
    </w:rPr>
  </w:style>
  <w:style w:type="paragraph" w:styleId="CommentText">
    <w:name w:val="annotation text"/>
    <w:basedOn w:val="Normal"/>
    <w:link w:val="CommentTextChar"/>
    <w:uiPriority w:val="99"/>
    <w:semiHidden/>
    <w:unhideWhenUsed/>
    <w:rsid w:val="00B97458"/>
    <w:pPr>
      <w:spacing w:line="240" w:lineRule="auto"/>
    </w:pPr>
  </w:style>
  <w:style w:type="character" w:customStyle="1" w:styleId="CommentTextChar">
    <w:name w:val="Comment Text Char"/>
    <w:basedOn w:val="DefaultParagraphFont"/>
    <w:link w:val="CommentText"/>
    <w:uiPriority w:val="99"/>
    <w:semiHidden/>
    <w:rsid w:val="00B97458"/>
  </w:style>
  <w:style w:type="paragraph" w:styleId="CommentSubject">
    <w:name w:val="annotation subject"/>
    <w:basedOn w:val="CommentText"/>
    <w:next w:val="CommentText"/>
    <w:link w:val="CommentSubjectChar"/>
    <w:uiPriority w:val="99"/>
    <w:semiHidden/>
    <w:unhideWhenUsed/>
    <w:rsid w:val="00B97458"/>
    <w:rPr>
      <w:b/>
      <w:bCs/>
    </w:rPr>
  </w:style>
  <w:style w:type="character" w:customStyle="1" w:styleId="CommentSubjectChar">
    <w:name w:val="Comment Subject Char"/>
    <w:basedOn w:val="CommentTextChar"/>
    <w:link w:val="CommentSubject"/>
    <w:uiPriority w:val="99"/>
    <w:semiHidden/>
    <w:rsid w:val="00B97458"/>
    <w:rPr>
      <w:b/>
      <w:bCs/>
    </w:rPr>
  </w:style>
  <w:style w:type="character" w:styleId="Hyperlink">
    <w:name w:val="Hyperlink"/>
    <w:basedOn w:val="DefaultParagraphFont"/>
    <w:uiPriority w:val="99"/>
    <w:unhideWhenUsed/>
    <w:rsid w:val="002201C3"/>
    <w:rPr>
      <w:color w:val="0000FF"/>
      <w:u w:val="single"/>
    </w:rPr>
  </w:style>
  <w:style w:type="character" w:styleId="FollowedHyperlink">
    <w:name w:val="FollowedHyperlink"/>
    <w:basedOn w:val="DefaultParagraphFont"/>
    <w:uiPriority w:val="99"/>
    <w:semiHidden/>
    <w:unhideWhenUsed/>
    <w:rsid w:val="000C6144"/>
    <w:rPr>
      <w:color w:val="954F72" w:themeColor="followedHyperlink"/>
      <w:u w:val="single"/>
    </w:rPr>
  </w:style>
  <w:style w:type="character" w:styleId="UnresolvedMention">
    <w:name w:val="Unresolved Mention"/>
    <w:basedOn w:val="DefaultParagraphFont"/>
    <w:uiPriority w:val="99"/>
    <w:semiHidden/>
    <w:unhideWhenUsed/>
    <w:rsid w:val="0010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network/researchers/covid-19-resources-for-the-research-community/not-learning-from-history-learning-from-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49346EE9BB84CB245C769CEE0D539" ma:contentTypeVersion="13" ma:contentTypeDescription="Create a new document." ma:contentTypeScope="" ma:versionID="ab4171a3025645671f30eb19465bb9db">
  <xsd:schema xmlns:xsd="http://www.w3.org/2001/XMLSchema" xmlns:xs="http://www.w3.org/2001/XMLSchema" xmlns:p="http://schemas.microsoft.com/office/2006/metadata/properties" xmlns:ns3="e64e5534-8bd7-4b0a-a93e-56a0c6a2c0cf" xmlns:ns4="0619f430-9ff0-4d82-9ff2-2c40f907e713" targetNamespace="http://schemas.microsoft.com/office/2006/metadata/properties" ma:root="true" ma:fieldsID="82a86098a7841e04c51cca816a2b302e" ns3:_="" ns4:_="">
    <xsd:import namespace="e64e5534-8bd7-4b0a-a93e-56a0c6a2c0cf"/>
    <xsd:import namespace="0619f430-9ff0-4d82-9ff2-2c40f907e7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e5534-8bd7-4b0a-a93e-56a0c6a2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9f430-9ff0-4d82-9ff2-2c40f907e7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BEBD7-2F12-47C6-9A44-0FDE5743B7C7}">
  <ds:schemaRefs>
    <ds:schemaRef ds:uri="http://schemas.microsoft.com/sharepoint/v3/contenttype/forms"/>
  </ds:schemaRefs>
</ds:datastoreItem>
</file>

<file path=customXml/itemProps2.xml><?xml version="1.0" encoding="utf-8"?>
<ds:datastoreItem xmlns:ds="http://schemas.openxmlformats.org/officeDocument/2006/customXml" ds:itemID="{98AE12F6-3B66-44DD-BE3D-9D8208786D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91C45-2E93-499D-8F1C-1DB10742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e5534-8bd7-4b0a-a93e-56a0c6a2c0cf"/>
    <ds:schemaRef ds:uri="0619f430-9ff0-4d82-9ff2-2c40f907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Curtis</dc:creator>
  <cp:keywords/>
  <dc:description/>
  <cp:lastModifiedBy>Daniel Curtis</cp:lastModifiedBy>
  <cp:revision>3</cp:revision>
  <dcterms:created xsi:type="dcterms:W3CDTF">2020-04-08T14:45:00Z</dcterms:created>
  <dcterms:modified xsi:type="dcterms:W3CDTF">2020-04-17T07:48:00Z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0x0101002E549346EE9BB84CB245C769CEE0D539</vt:lpwstr>
  </property>
</Properties>
</file>