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BDE49" w14:textId="0D63F6EB" w:rsidR="00C336D4" w:rsidRDefault="00C336D4" w:rsidP="00C336D4">
      <w:pPr>
        <w:pStyle w:val="indent"/>
        <w:spacing w:before="0" w:beforeAutospacing="0" w:after="0" w:afterAutospacing="0"/>
        <w:ind w:firstLine="240"/>
        <w:jc w:val="both"/>
      </w:pPr>
      <w:r>
        <w:rPr>
          <w:rFonts w:ascii="LinLibertine" w:hAnsi="LinLibertine"/>
          <w:color w:val="333333"/>
          <w:sz w:val="20"/>
          <w:szCs w:val="20"/>
        </w:rPr>
        <w:br/>
      </w:r>
      <w:hyperlink r:id="rId4" w:anchor="for" w:history="1">
        <w:r>
          <w:rPr>
            <w:rStyle w:val="kobospan"/>
            <w:rFonts w:ascii="LinLibertine" w:hAnsi="LinLibertine"/>
            <w:b/>
            <w:bCs/>
            <w:color w:val="0000FF"/>
            <w:sz w:val="31"/>
            <w:szCs w:val="31"/>
          </w:rPr>
          <w:t>Foreword</w:t>
        </w:r>
      </w:hyperlink>
    </w:p>
    <w:p w14:paraId="4F0445A0" w14:textId="77777777" w:rsidR="00C336D4" w:rsidRDefault="00C336D4" w:rsidP="00C336D4">
      <w:pPr>
        <w:pStyle w:val="indent"/>
        <w:spacing w:before="0" w:beforeAutospacing="0" w:after="0" w:afterAutospacing="0"/>
        <w:ind w:firstLine="240"/>
        <w:jc w:val="both"/>
        <w:rPr>
          <w:rStyle w:val="kobospan"/>
          <w:rFonts w:ascii="LinLibertine" w:hAnsi="LinLibertine"/>
          <w:color w:val="333333"/>
          <w:sz w:val="20"/>
          <w:szCs w:val="20"/>
        </w:rPr>
      </w:pPr>
      <w:bookmarkStart w:id="0" w:name="_GoBack"/>
      <w:bookmarkEnd w:id="0"/>
    </w:p>
    <w:p w14:paraId="5F77CE1D" w14:textId="13676434" w:rsidR="00C336D4" w:rsidRDefault="00C336D4" w:rsidP="00C336D4">
      <w:pPr>
        <w:pStyle w:val="indent"/>
        <w:spacing w:before="0" w:beforeAutospacing="0" w:after="0" w:afterAutospacing="0"/>
        <w:ind w:firstLine="240"/>
        <w:jc w:val="both"/>
        <w:rPr>
          <w:rFonts w:ascii="LinLibertine" w:hAnsi="LinLibertine"/>
          <w:color w:val="333333"/>
          <w:sz w:val="20"/>
          <w:szCs w:val="20"/>
        </w:rPr>
      </w:pPr>
      <w:r>
        <w:rPr>
          <w:rStyle w:val="kobospan"/>
          <w:rFonts w:ascii="LinLibertine" w:hAnsi="LinLibertine"/>
          <w:color w:val="333333"/>
          <w:sz w:val="20"/>
          <w:szCs w:val="20"/>
        </w:rPr>
        <w:t xml:space="preserve">Information—regular, systematic, reliable information—is the life blood of democracy, and the fuel of effective management. Without it, such values as accountability, transparency, equity, fairness, efficiency, and non-discrimination are hollowed out: they become ritualistic and are incapable of any substantive realization. The realm of governance </w:t>
      </w:r>
      <w:proofErr w:type="gramStart"/>
      <w:r>
        <w:rPr>
          <w:rStyle w:val="kobospan"/>
          <w:rFonts w:ascii="LinLibertine" w:hAnsi="LinLibertine"/>
          <w:color w:val="333333"/>
          <w:sz w:val="20"/>
          <w:szCs w:val="20"/>
        </w:rPr>
        <w:t>shrinks:</w:t>
      </w:r>
      <w:proofErr w:type="gramEnd"/>
      <w:r>
        <w:rPr>
          <w:rStyle w:val="kobospan"/>
          <w:rFonts w:ascii="LinLibertine" w:hAnsi="LinLibertine"/>
          <w:color w:val="333333"/>
          <w:sz w:val="20"/>
          <w:szCs w:val="20"/>
        </w:rPr>
        <w:t xml:space="preserve"> not to nothing but rather to a rough and unpredictable territory of charismatic leaders, instinctual decision-making and ever-shifting political deals. Eventually public administration itself becomes a set of activities characterized by a dismal combination of defensive rule-following punctuated with opportunistic rule-breaking. Trust and responsiveness are among the early casualties.</w:t>
      </w:r>
    </w:p>
    <w:p w14:paraId="122B254D" w14:textId="77777777" w:rsidR="00C336D4" w:rsidRDefault="00C336D4" w:rsidP="00C336D4">
      <w:pPr>
        <w:pStyle w:val="indent"/>
        <w:spacing w:before="0" w:beforeAutospacing="0" w:after="0" w:afterAutospacing="0"/>
        <w:ind w:firstLine="240"/>
        <w:jc w:val="both"/>
        <w:rPr>
          <w:rFonts w:ascii="LinLibertine" w:hAnsi="LinLibertine"/>
          <w:color w:val="333333"/>
          <w:sz w:val="20"/>
          <w:szCs w:val="20"/>
        </w:rPr>
      </w:pPr>
      <w:r>
        <w:rPr>
          <w:rStyle w:val="kobospan"/>
          <w:rFonts w:ascii="LinLibertine" w:hAnsi="LinLibertine"/>
          <w:color w:val="333333"/>
          <w:sz w:val="20"/>
          <w:szCs w:val="20"/>
        </w:rPr>
        <w:t>Yet surely—today—there is no problem with information? This is the age of information </w:t>
      </w:r>
      <w:r>
        <w:rPr>
          <w:rStyle w:val="kobospan"/>
          <w:rFonts w:ascii="LinLibertine" w:hAnsi="LinLibertine"/>
          <w:i/>
          <w:iCs/>
          <w:color w:val="333333"/>
          <w:sz w:val="20"/>
          <w:szCs w:val="20"/>
        </w:rPr>
        <w:t>overload</w:t>
      </w:r>
      <w:r>
        <w:rPr>
          <w:rStyle w:val="kobospan"/>
          <w:rFonts w:ascii="LinLibertine" w:hAnsi="LinLibertine"/>
          <w:color w:val="333333"/>
          <w:sz w:val="20"/>
          <w:szCs w:val="20"/>
        </w:rPr>
        <w:t>. It pours onto our screens and out of our printers. Just look at the lists of references appended to the chapters of this book and consider the person hours that must have gone into the production and consumption of all those reports and studies. Many governments claim—often with some justification—to be more open and transparent than ever before. But what if—to continue the blood and fuel metaphors—the blood is contaminated, or the fuel polluted? Then the body politic sickens and the engine of public management runs rough. It is to this vital issue of the </w:t>
      </w:r>
      <w:r>
        <w:rPr>
          <w:rStyle w:val="kobospan"/>
          <w:rFonts w:ascii="LinLibertine" w:hAnsi="LinLibertine"/>
          <w:i/>
          <w:iCs/>
          <w:color w:val="333333"/>
          <w:sz w:val="20"/>
          <w:szCs w:val="20"/>
        </w:rPr>
        <w:t>quality</w:t>
      </w:r>
      <w:r>
        <w:rPr>
          <w:rStyle w:val="kobospan"/>
          <w:rFonts w:ascii="LinLibertine" w:hAnsi="LinLibertine"/>
          <w:color w:val="333333"/>
          <w:sz w:val="20"/>
          <w:szCs w:val="20"/>
        </w:rPr>
        <w:t> of our information flow that this book is addressed.</w:t>
      </w:r>
    </w:p>
    <w:p w14:paraId="1C42AAA1" w14:textId="77777777" w:rsidR="00C336D4" w:rsidRDefault="00C336D4" w:rsidP="00C336D4">
      <w:pPr>
        <w:pStyle w:val="indent"/>
        <w:spacing w:before="0" w:beforeAutospacing="0" w:after="0" w:afterAutospacing="0"/>
        <w:ind w:firstLine="240"/>
        <w:jc w:val="both"/>
        <w:rPr>
          <w:rFonts w:ascii="LinLibertine" w:hAnsi="LinLibertine"/>
          <w:color w:val="333333"/>
          <w:sz w:val="20"/>
          <w:szCs w:val="20"/>
        </w:rPr>
      </w:pPr>
      <w:r>
        <w:rPr>
          <w:rStyle w:val="kobospan"/>
          <w:rFonts w:ascii="LinLibertine" w:hAnsi="LinLibertine"/>
          <w:color w:val="333333"/>
          <w:sz w:val="20"/>
          <w:szCs w:val="20"/>
        </w:rPr>
        <w:t>The editors and authors are here concerned with a special type of information, what is here termed </w:t>
      </w:r>
      <w:r>
        <w:rPr>
          <w:rStyle w:val="kobospan"/>
          <w:rFonts w:ascii="LinLibertine" w:hAnsi="LinLibertine"/>
          <w:i/>
          <w:iCs/>
          <w:color w:val="333333"/>
          <w:sz w:val="20"/>
          <w:szCs w:val="20"/>
        </w:rPr>
        <w:t>evaluative</w:t>
      </w:r>
      <w:r>
        <w:rPr>
          <w:rStyle w:val="kobospan"/>
          <w:rFonts w:ascii="LinLibertine" w:hAnsi="LinLibertine"/>
          <w:color w:val="333333"/>
          <w:sz w:val="20"/>
          <w:szCs w:val="20"/>
        </w:rPr>
        <w:t> information. In many local, national, and international jurisdictions this category of information has become steadily more important over the past two decades. It is defined here as those types of information that are generated by the processes of evaluation, performance auditing, and performance reporting (all activities that appear to have grown in extent since the 1980s). These three activities share the stated intention of being both systematic and analytic. The information they generate should be of particularly high quality. Furthermore, frequently, it is information related to the </w:t>
      </w:r>
      <w:proofErr w:type="spellStart"/>
      <w:r>
        <w:rPr>
          <w:rStyle w:val="kobospan"/>
          <w:rFonts w:ascii="LinLibertine" w:hAnsi="LinLibertine"/>
          <w:i/>
          <w:iCs/>
          <w:color w:val="333333"/>
          <w:sz w:val="20"/>
          <w:szCs w:val="20"/>
        </w:rPr>
        <w:t>results</w:t>
      </w:r>
      <w:r>
        <w:rPr>
          <w:rStyle w:val="kobospan"/>
          <w:rFonts w:ascii="LinLibertine" w:hAnsi="LinLibertine"/>
          <w:color w:val="333333"/>
          <w:sz w:val="20"/>
          <w:szCs w:val="20"/>
        </w:rPr>
        <w:t>achieved</w:t>
      </w:r>
      <w:proofErr w:type="spellEnd"/>
      <w:r>
        <w:rPr>
          <w:rStyle w:val="kobospan"/>
          <w:rFonts w:ascii="LinLibertine" w:hAnsi="LinLibertine"/>
          <w:color w:val="333333"/>
          <w:sz w:val="20"/>
          <w:szCs w:val="20"/>
        </w:rPr>
        <w:t xml:space="preserve"> by public organizations and programs—information concerning outputs, outcomes, and impacts. From either a democratic or a managerial perspective this is crucial material. It tells us how well (or badly) we are doing, and perhaps also gives some strong insights as to why. It is the kind of information that those many governments who have declared themselves in </w:t>
      </w:r>
      <w:proofErr w:type="spellStart"/>
      <w:r>
        <w:rPr>
          <w:rStyle w:val="kobospan"/>
          <w:rFonts w:ascii="LinLibertine" w:hAnsi="LinLibertine"/>
          <w:color w:val="333333"/>
          <w:sz w:val="20"/>
          <w:szCs w:val="20"/>
        </w:rPr>
        <w:t>favor</w:t>
      </w:r>
      <w:proofErr w:type="spellEnd"/>
      <w:r>
        <w:rPr>
          <w:rStyle w:val="kobospan"/>
          <w:rFonts w:ascii="LinLibertine" w:hAnsi="LinLibertine"/>
          <w:color w:val="333333"/>
          <w:sz w:val="20"/>
          <w:szCs w:val="20"/>
        </w:rPr>
        <w:t xml:space="preserve"> of a more performance-oriented approach, a “results culture,” should rationally be extremely interested in.</w:t>
      </w:r>
    </w:p>
    <w:p w14:paraId="4498AA0B" w14:textId="77777777" w:rsidR="00C336D4" w:rsidRDefault="00C336D4" w:rsidP="00C336D4">
      <w:pPr>
        <w:pStyle w:val="indent"/>
        <w:spacing w:before="0" w:beforeAutospacing="0" w:after="0" w:afterAutospacing="0"/>
        <w:ind w:firstLine="240"/>
        <w:jc w:val="both"/>
        <w:rPr>
          <w:rFonts w:ascii="LinLibertine" w:hAnsi="LinLibertine"/>
          <w:color w:val="333333"/>
          <w:sz w:val="20"/>
          <w:szCs w:val="20"/>
        </w:rPr>
      </w:pPr>
      <w:r>
        <w:rPr>
          <w:rStyle w:val="kobospan"/>
          <w:rFonts w:ascii="LinLibertine" w:hAnsi="LinLibertine"/>
          <w:color w:val="333333"/>
          <w:sz w:val="20"/>
          <w:szCs w:val="20"/>
        </w:rPr>
        <w:t xml:space="preserve">It is no surprise to discover, however, that the seemingly impeccable logic linking the provision of evaluative information to political and managerial decision-making looks much clearer on the page than on the ground. On the ground there are many reasons why </w:t>
      </w:r>
      <w:proofErr w:type="gramStart"/>
      <w:r>
        <w:rPr>
          <w:rStyle w:val="kobospan"/>
          <w:rFonts w:ascii="LinLibertine" w:hAnsi="LinLibertine"/>
          <w:color w:val="333333"/>
          <w:sz w:val="20"/>
          <w:szCs w:val="20"/>
        </w:rPr>
        <w:t>high quality</w:t>
      </w:r>
      <w:proofErr w:type="gramEnd"/>
      <w:r>
        <w:rPr>
          <w:rStyle w:val="kobospan"/>
          <w:rFonts w:ascii="LinLibertine" w:hAnsi="LinLibertine"/>
          <w:color w:val="333333"/>
          <w:sz w:val="20"/>
          <w:szCs w:val="20"/>
        </w:rPr>
        <w:t xml:space="preserve"> evaluative information may never be produced, may be produced but ignored, or may even be </w:t>
      </w:r>
      <w:proofErr w:type="spellStart"/>
      <w:r>
        <w:rPr>
          <w:rStyle w:val="kobospan"/>
          <w:rFonts w:ascii="LinLibertine" w:hAnsi="LinLibertine"/>
          <w:color w:val="333333"/>
          <w:sz w:val="20"/>
          <w:szCs w:val="20"/>
        </w:rPr>
        <w:t>willfully</w:t>
      </w:r>
      <w:proofErr w:type="spellEnd"/>
      <w:r>
        <w:rPr>
          <w:rStyle w:val="kobospan"/>
          <w:rFonts w:ascii="LinLibertine" w:hAnsi="LinLibertine"/>
          <w:color w:val="333333"/>
          <w:sz w:val="20"/>
          <w:szCs w:val="20"/>
        </w:rPr>
        <w:t xml:space="preserve"> misinterpreted or misused. These reasons include skill deficits, lack of planning, poor co-ordination, shortage of money and time, conceptual misunderstandings, managerial defensiveness, professional suspicion, political sensitivity and, occasionally, a deep-seated hostility to “evaluation” itself, when it is perceived to be a manifestation of an alien “Anglo-Saxon” or “American” culture.</w:t>
      </w:r>
    </w:p>
    <w:p w14:paraId="2FC053BF" w14:textId="77777777" w:rsidR="00C336D4" w:rsidRDefault="00C336D4" w:rsidP="00C336D4">
      <w:pPr>
        <w:pStyle w:val="indent"/>
        <w:spacing w:before="0" w:beforeAutospacing="0" w:after="0" w:afterAutospacing="0"/>
        <w:ind w:firstLine="240"/>
        <w:jc w:val="both"/>
        <w:rPr>
          <w:rFonts w:ascii="LinLibertine" w:hAnsi="LinLibertine"/>
          <w:color w:val="333333"/>
          <w:sz w:val="20"/>
          <w:szCs w:val="20"/>
        </w:rPr>
      </w:pPr>
      <w:r>
        <w:rPr>
          <w:rStyle w:val="kobospan"/>
          <w:rFonts w:ascii="LinLibertine" w:hAnsi="LinLibertine"/>
          <w:color w:val="333333"/>
          <w:sz w:val="20"/>
          <w:szCs w:val="20"/>
        </w:rPr>
        <w:t xml:space="preserve">These barriers to the production and use of evaluative knowledge mean that a struggle or, more accurately, many struggles have been required in order to extend the domain of evaluation, performance audit, and performance reporting. This process of “colonization” has been supported and interpreted through many texts, both official and academic. While further extensions to the territory of evaluative knowledge certainly continue to occur, it could be argued that the empire-building of phase one is now largely complete. We already have a considerable range of evaluation units and programs, a vast number of mandatory performance reports and perhaps even an “Audit Society.” Now we are in phase two, when the new evaluative actors </w:t>
      </w:r>
      <w:proofErr w:type="gramStart"/>
      <w:r>
        <w:rPr>
          <w:rStyle w:val="kobospan"/>
          <w:rFonts w:ascii="LinLibertine" w:hAnsi="LinLibertine"/>
          <w:color w:val="333333"/>
          <w:sz w:val="20"/>
          <w:szCs w:val="20"/>
        </w:rPr>
        <w:t>have to</w:t>
      </w:r>
      <w:proofErr w:type="gramEnd"/>
      <w:r>
        <w:rPr>
          <w:rStyle w:val="kobospan"/>
          <w:rFonts w:ascii="LinLibertine" w:hAnsi="LinLibertine"/>
          <w:color w:val="333333"/>
          <w:sz w:val="20"/>
          <w:szCs w:val="20"/>
        </w:rPr>
        <w:t xml:space="preserve"> show what they can do. Just how useful and trustworthy are their information products? Are they really a “quality act?” Are they worth the expense and effort? The literature of this second phase is </w:t>
      </w:r>
      <w:proofErr w:type="gramStart"/>
      <w:r>
        <w:rPr>
          <w:rStyle w:val="kobospan"/>
          <w:rFonts w:ascii="LinLibertine" w:hAnsi="LinLibertine"/>
          <w:color w:val="333333"/>
          <w:sz w:val="20"/>
          <w:szCs w:val="20"/>
        </w:rPr>
        <w:t>as yet</w:t>
      </w:r>
      <w:proofErr w:type="gramEnd"/>
      <w:r>
        <w:rPr>
          <w:rStyle w:val="kobospan"/>
          <w:rFonts w:ascii="LinLibertine" w:hAnsi="LinLibertine"/>
          <w:color w:val="333333"/>
          <w:sz w:val="20"/>
          <w:szCs w:val="20"/>
        </w:rPr>
        <w:t xml:space="preserve"> much less copious than that which addresses the first phase. Direct analyses of the quality of evaluative information—and even more of the effectiveness of different approaches to improving that quality—have been rare. This volume is therefore both timely and important. Its broad coverage of countries and international organizations is especially welcome. As the editors readily admit, it is exploratory rather than conclusive. To borrow from the title of the final chapter, we can be reasonably certain that quality matters, and that it can often be improved, but we are </w:t>
      </w:r>
      <w:proofErr w:type="gramStart"/>
      <w:r>
        <w:rPr>
          <w:rStyle w:val="kobospan"/>
          <w:rFonts w:ascii="LinLibertine" w:hAnsi="LinLibertine"/>
          <w:color w:val="333333"/>
          <w:sz w:val="20"/>
          <w:szCs w:val="20"/>
        </w:rPr>
        <w:t>as yet</w:t>
      </w:r>
      <w:proofErr w:type="gramEnd"/>
      <w:r>
        <w:rPr>
          <w:rStyle w:val="kobospan"/>
          <w:rFonts w:ascii="LinLibertine" w:hAnsi="LinLibertine"/>
          <w:color w:val="333333"/>
          <w:sz w:val="20"/>
          <w:szCs w:val="20"/>
        </w:rPr>
        <w:t xml:space="preserve"> less clear why some care about it while others do not.</w:t>
      </w:r>
    </w:p>
    <w:p w14:paraId="00598182" w14:textId="77777777" w:rsidR="00C336D4" w:rsidRDefault="00C336D4" w:rsidP="00C336D4">
      <w:pPr>
        <w:pStyle w:val="right1"/>
        <w:spacing w:before="240" w:beforeAutospacing="0" w:after="0" w:afterAutospacing="0"/>
        <w:jc w:val="right"/>
        <w:rPr>
          <w:rFonts w:ascii="LinLibertine" w:hAnsi="LinLibertine"/>
          <w:color w:val="333333"/>
          <w:sz w:val="20"/>
          <w:szCs w:val="20"/>
        </w:rPr>
      </w:pPr>
      <w:r>
        <w:rPr>
          <w:rStyle w:val="kobospan"/>
          <w:rFonts w:ascii="LinLibertine" w:hAnsi="LinLibertine"/>
          <w:color w:val="333333"/>
          <w:sz w:val="20"/>
          <w:szCs w:val="20"/>
        </w:rPr>
        <w:t>Christopher Pollitt</w:t>
      </w:r>
      <w:r>
        <w:rPr>
          <w:rFonts w:ascii="LinLibertine" w:hAnsi="LinLibertine"/>
          <w:color w:val="333333"/>
          <w:sz w:val="20"/>
          <w:szCs w:val="20"/>
        </w:rPr>
        <w:br/>
      </w:r>
      <w:r>
        <w:rPr>
          <w:rStyle w:val="kobospan"/>
          <w:rFonts w:ascii="LinLibertine" w:hAnsi="LinLibertine"/>
          <w:color w:val="333333"/>
          <w:sz w:val="20"/>
          <w:szCs w:val="20"/>
        </w:rPr>
        <w:t>Erasmus University Rotterdam</w:t>
      </w:r>
      <w:r>
        <w:rPr>
          <w:rFonts w:ascii="LinLibertine" w:hAnsi="LinLibertine"/>
          <w:color w:val="333333"/>
          <w:sz w:val="20"/>
          <w:szCs w:val="20"/>
        </w:rPr>
        <w:br/>
      </w:r>
      <w:r>
        <w:rPr>
          <w:rStyle w:val="kobospan"/>
          <w:rFonts w:ascii="LinLibertine" w:hAnsi="LinLibertine"/>
          <w:color w:val="333333"/>
          <w:sz w:val="20"/>
          <w:szCs w:val="20"/>
        </w:rPr>
        <w:t>October 2003</w:t>
      </w:r>
    </w:p>
    <w:p w14:paraId="04CA17C5" w14:textId="77777777" w:rsidR="00BD57C8" w:rsidRPr="00C336D4" w:rsidRDefault="00BD57C8">
      <w:pPr>
        <w:rPr>
          <w:lang w:val="en-GB"/>
        </w:rPr>
      </w:pPr>
    </w:p>
    <w:sectPr w:rsidR="00BD57C8" w:rsidRPr="00C336D4" w:rsidSect="00C336D4">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LinLibertine">
    <w:altName w:val="Cambria"/>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6D4"/>
    <w:rsid w:val="00BD57C8"/>
    <w:rsid w:val="00C336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C103B"/>
  <w15:chartTrackingRefBased/>
  <w15:docId w15:val="{63C0E1D4-F4F8-42BB-AB52-7A26DC8F2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
    <w:name w:val="indent"/>
    <w:basedOn w:val="Normal"/>
    <w:rsid w:val="00C336D4"/>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kobospan">
    <w:name w:val="kobospan"/>
    <w:basedOn w:val="DefaultParagraphFont"/>
    <w:rsid w:val="00C336D4"/>
  </w:style>
  <w:style w:type="paragraph" w:customStyle="1" w:styleId="right1">
    <w:name w:val="right1"/>
    <w:basedOn w:val="Normal"/>
    <w:rsid w:val="00C336D4"/>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186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kbget1-a.akamaihd.net/koboid-prod-public/xhtml/06_Contents.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773</Words>
  <Characters>4411</Characters>
  <Application>Microsoft Office Word</Application>
  <DocSecurity>0</DocSecurity>
  <Lines>36</Lines>
  <Paragraphs>10</Paragraphs>
  <ScaleCrop>false</ScaleCrop>
  <Company>Erasmus Universiteit</Company>
  <LinksUpToDate>false</LinksUpToDate>
  <CharactersWithSpaces>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Slijkoort</dc:creator>
  <cp:keywords/>
  <dc:description/>
  <cp:lastModifiedBy>Jan Slijkoort</cp:lastModifiedBy>
  <cp:revision>1</cp:revision>
  <dcterms:created xsi:type="dcterms:W3CDTF">2020-06-11T10:47:00Z</dcterms:created>
  <dcterms:modified xsi:type="dcterms:W3CDTF">2020-06-11T10:48:00Z</dcterms:modified>
</cp:coreProperties>
</file>