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A015BD" w14:textId="77777777" w:rsidR="00157600" w:rsidRPr="00157600" w:rsidRDefault="00157600" w:rsidP="00157600">
      <w:pPr>
        <w:spacing w:after="0" w:line="240" w:lineRule="auto"/>
        <w:rPr>
          <w:rFonts w:ascii="Lora" w:eastAsia="Times New Roman" w:hAnsi="Lora" w:cs="Times New Roman"/>
          <w:b/>
          <w:bCs/>
          <w:color w:val="000000"/>
          <w:sz w:val="27"/>
          <w:szCs w:val="27"/>
          <w:shd w:val="clear" w:color="auto" w:fill="FFFFFF"/>
          <w:lang w:val="nl-NL" w:eastAsia="nl-NL"/>
        </w:rPr>
      </w:pPr>
      <w:r w:rsidRPr="00157600">
        <w:rPr>
          <w:rFonts w:ascii="Lora" w:eastAsia="Times New Roman" w:hAnsi="Lora" w:cs="Times New Roman"/>
          <w:b/>
          <w:bCs/>
          <w:color w:val="000000"/>
          <w:sz w:val="27"/>
          <w:szCs w:val="27"/>
          <w:shd w:val="clear" w:color="auto" w:fill="FFFFFF"/>
          <w:lang w:val="nl-NL" w:eastAsia="nl-NL"/>
        </w:rPr>
        <w:t>Vrijstelling van parkeerbelasting op grond van diplomatieke status</w:t>
      </w:r>
    </w:p>
    <w:p w14:paraId="2C35E6BE" w14:textId="40B45F03" w:rsidR="00157600" w:rsidRPr="00AE0F47" w:rsidRDefault="00157600" w:rsidP="00157600">
      <w:pPr>
        <w:pStyle w:val="NormalWeb"/>
        <w:rPr>
          <w:rFonts w:ascii="Lora" w:hAnsi="Lora"/>
          <w:color w:val="000000"/>
          <w:sz w:val="27"/>
          <w:szCs w:val="27"/>
          <w:shd w:val="clear" w:color="auto" w:fill="FFFFFF"/>
          <w:lang w:val="en-US"/>
        </w:rPr>
      </w:pPr>
      <w:r w:rsidRPr="00157600">
        <w:rPr>
          <w:rFonts w:ascii="Lora" w:hAnsi="Lora"/>
          <w:color w:val="000000"/>
          <w:sz w:val="27"/>
          <w:szCs w:val="27"/>
          <w:shd w:val="clear" w:color="auto" w:fill="FFFFFF"/>
          <w:lang w:val="en-US"/>
        </w:rPr>
        <w:t xml:space="preserve">A-G,16 </w:t>
      </w:r>
      <w:proofErr w:type="spellStart"/>
      <w:r w:rsidRPr="00157600">
        <w:rPr>
          <w:rFonts w:ascii="Lora" w:hAnsi="Lora"/>
          <w:color w:val="000000"/>
          <w:sz w:val="27"/>
          <w:szCs w:val="27"/>
          <w:shd w:val="clear" w:color="auto" w:fill="FFFFFF"/>
          <w:lang w:val="en-US"/>
        </w:rPr>
        <w:t>juli</w:t>
      </w:r>
      <w:proofErr w:type="spellEnd"/>
      <w:r w:rsidRPr="00157600">
        <w:rPr>
          <w:rFonts w:ascii="Lora" w:hAnsi="Lora"/>
          <w:color w:val="000000"/>
          <w:sz w:val="27"/>
          <w:szCs w:val="27"/>
          <w:shd w:val="clear" w:color="auto" w:fill="FFFFFF"/>
          <w:lang w:val="en-US"/>
        </w:rPr>
        <w:t xml:space="preserve"> 2020 19/03212, ECLI:NL:PHR:2020:697</w:t>
      </w:r>
      <w:bookmarkStart w:id="0" w:name="_GoBack"/>
      <w:bookmarkEnd w:id="0"/>
    </w:p>
    <w:p w14:paraId="091AAE7A" w14:textId="77777777" w:rsidR="00157600" w:rsidRPr="00AE0F47" w:rsidRDefault="00157600" w:rsidP="00157600">
      <w:pPr>
        <w:pStyle w:val="Heading2"/>
        <w:rPr>
          <w:lang w:val="nl-NL"/>
        </w:rPr>
      </w:pPr>
      <w:r w:rsidRPr="00AE0F47">
        <w:rPr>
          <w:lang w:val="nl-NL"/>
        </w:rPr>
        <w:t>Internationale en diplomatieke vrijstellingen van gemeentelijke belastingen</w:t>
      </w:r>
    </w:p>
    <w:p w14:paraId="1EF63B9B" w14:textId="05D9A1A3" w:rsidR="00157600" w:rsidRDefault="00157600" w:rsidP="00157600">
      <w:pPr>
        <w:pStyle w:val="NormalWeb"/>
        <w:rPr>
          <w:rFonts w:ascii="swiftef_lightregular" w:hAnsi="swiftef_lightregular"/>
          <w:color w:val="000000"/>
          <w:sz w:val="27"/>
          <w:szCs w:val="27"/>
        </w:rPr>
      </w:pPr>
      <w:r>
        <w:rPr>
          <w:rFonts w:ascii="swiftef_lightregular" w:hAnsi="swiftef_lightregular"/>
          <w:color w:val="000000"/>
          <w:sz w:val="27"/>
          <w:szCs w:val="27"/>
        </w:rPr>
        <w:t xml:space="preserve">In bilaterale en multilaterale verdragen kunnen vrijstellingen worden opgenomen van belastingen. Voor gemeentelijke belastingen is dit bijvoorbeeld gebeurd in het NAVO-statusverdrag en in het Verdrag van Wenen </w:t>
      </w:r>
      <w:proofErr w:type="gramStart"/>
      <w:r>
        <w:rPr>
          <w:rFonts w:ascii="swiftef_lightregular" w:hAnsi="swiftef_lightregular"/>
          <w:color w:val="000000"/>
          <w:sz w:val="27"/>
          <w:szCs w:val="27"/>
        </w:rPr>
        <w:t>inzake</w:t>
      </w:r>
      <w:proofErr w:type="gramEnd"/>
      <w:r>
        <w:rPr>
          <w:rFonts w:ascii="swiftef_lightregular" w:hAnsi="swiftef_lightregular"/>
          <w:color w:val="000000"/>
          <w:sz w:val="27"/>
          <w:szCs w:val="27"/>
        </w:rPr>
        <w:t xml:space="preserve"> diplomatiek verkeer. Zie voor een voorbeeld van een mogelijke vrijstelling in een bilateraal verdrag de uitspraak van Rechtbank Zutphen van 12 augustus 2009 (nr. 08/1347, ECLI:</w:t>
      </w:r>
      <w:proofErr w:type="gramStart"/>
      <w:r>
        <w:rPr>
          <w:rFonts w:ascii="swiftef_lightregular" w:hAnsi="swiftef_lightregular"/>
          <w:color w:val="000000"/>
          <w:sz w:val="27"/>
          <w:szCs w:val="27"/>
        </w:rPr>
        <w:t>NL:RBZUT</w:t>
      </w:r>
      <w:proofErr w:type="gramEnd"/>
      <w:r>
        <w:rPr>
          <w:rFonts w:ascii="swiftef_lightregular" w:hAnsi="swiftef_lightregular"/>
          <w:color w:val="000000"/>
          <w:sz w:val="27"/>
          <w:szCs w:val="27"/>
        </w:rPr>
        <w:t xml:space="preserve">:2009:BJ5442, Verdrag Nederland-Zwitserland m.b.t. een aanslag </w:t>
      </w:r>
      <w:proofErr w:type="spellStart"/>
      <w:r>
        <w:rPr>
          <w:rFonts w:ascii="swiftef_lightregular" w:hAnsi="swiftef_lightregular"/>
          <w:color w:val="000000"/>
          <w:sz w:val="27"/>
          <w:szCs w:val="27"/>
        </w:rPr>
        <w:t>onroerende-zaakbelastingen</w:t>
      </w:r>
      <w:proofErr w:type="spellEnd"/>
      <w:r>
        <w:rPr>
          <w:rFonts w:ascii="swiftef_lightregular" w:hAnsi="swiftef_lightregular"/>
          <w:color w:val="000000"/>
          <w:sz w:val="27"/>
          <w:szCs w:val="27"/>
        </w:rPr>
        <w:t>). Daarnaast is op nationaal niveau de Regeling diplomatieke en internationale vrijstellingen gemeentelijke belastingen vastgesteld, die zijn wettelijke basis heeft in artikel 243 Gemeentewet.</w:t>
      </w:r>
    </w:p>
    <w:p w14:paraId="67597249" w14:textId="77777777" w:rsidR="00157600" w:rsidRDefault="00157600" w:rsidP="00157600">
      <w:pPr>
        <w:pStyle w:val="NormalWeb"/>
        <w:rPr>
          <w:rFonts w:ascii="swiftef_lightregular" w:hAnsi="swiftef_lightregular"/>
          <w:color w:val="000000"/>
          <w:sz w:val="27"/>
          <w:szCs w:val="27"/>
        </w:rPr>
      </w:pPr>
      <w:r>
        <w:rPr>
          <w:rFonts w:ascii="swiftef_lightregular" w:hAnsi="swiftef_lightregular"/>
          <w:color w:val="000000"/>
          <w:sz w:val="27"/>
          <w:szCs w:val="27"/>
        </w:rPr>
        <w:t xml:space="preserve">In deze zaak deed de belanghebbende een beroep op artikel 34 van het Verdrag van Wenen </w:t>
      </w:r>
      <w:proofErr w:type="gramStart"/>
      <w:r>
        <w:rPr>
          <w:rFonts w:ascii="swiftef_lightregular" w:hAnsi="swiftef_lightregular"/>
          <w:color w:val="000000"/>
          <w:sz w:val="27"/>
          <w:szCs w:val="27"/>
        </w:rPr>
        <w:t>inzake</w:t>
      </w:r>
      <w:proofErr w:type="gramEnd"/>
      <w:r>
        <w:rPr>
          <w:rFonts w:ascii="swiftef_lightregular" w:hAnsi="swiftef_lightregular"/>
          <w:color w:val="000000"/>
          <w:sz w:val="27"/>
          <w:szCs w:val="27"/>
        </w:rPr>
        <w:t xml:space="preserve"> diplomatiek verkeer. Deze bepaling kan naar inhoud </w:t>
      </w:r>
      <w:proofErr w:type="gramStart"/>
      <w:r>
        <w:rPr>
          <w:rFonts w:ascii="swiftef_lightregular" w:hAnsi="swiftef_lightregular"/>
          <w:color w:val="000000"/>
          <w:sz w:val="27"/>
          <w:szCs w:val="27"/>
        </w:rPr>
        <w:t>een ieder</w:t>
      </w:r>
      <w:proofErr w:type="gramEnd"/>
      <w:r>
        <w:rPr>
          <w:rFonts w:ascii="swiftef_lightregular" w:hAnsi="swiftef_lightregular"/>
          <w:color w:val="000000"/>
          <w:sz w:val="27"/>
          <w:szCs w:val="27"/>
        </w:rPr>
        <w:t xml:space="preserve"> verbinden en is voldoende bepaald om rechtstreekse werking te kunnen hebben, zodat de belastingplichtige hier een rechtstreeks beroep op kan doen. Daarmee is (de uitleg van) het verdrag leidend voor de juridische vraag of een vrijstelling van toepassing is en niet de eventuele uitwerking in nationale wetgeving.</w:t>
      </w:r>
    </w:p>
    <w:p w14:paraId="0E0E025A" w14:textId="77777777" w:rsidR="00157600" w:rsidRDefault="00157600" w:rsidP="00157600">
      <w:pPr>
        <w:pStyle w:val="NormalWeb"/>
        <w:rPr>
          <w:rStyle w:val="Heading2Char"/>
        </w:rPr>
      </w:pPr>
      <w:r w:rsidRPr="00157600">
        <w:rPr>
          <w:rStyle w:val="Heading2Char"/>
        </w:rPr>
        <w:t>Art. 34 Verdrag van Wenen</w:t>
      </w:r>
    </w:p>
    <w:p w14:paraId="6D825793" w14:textId="6D87CE9B" w:rsidR="00157600" w:rsidRDefault="00157600" w:rsidP="00157600">
      <w:pPr>
        <w:pStyle w:val="NormalWeb"/>
        <w:rPr>
          <w:rFonts w:ascii="swiftef_lightregular" w:hAnsi="swiftef_lightregular"/>
          <w:color w:val="000000"/>
          <w:sz w:val="27"/>
          <w:szCs w:val="27"/>
        </w:rPr>
      </w:pPr>
      <w:r>
        <w:rPr>
          <w:rFonts w:ascii="swiftef_lightregular" w:hAnsi="swiftef_lightregular"/>
          <w:color w:val="000000"/>
          <w:sz w:val="27"/>
          <w:szCs w:val="27"/>
        </w:rPr>
        <w:t>Artikel 34 van het Verdrag van Wenen verleent diplomatieke ambtenaren vrijstelling van alle belastingen en rechten, zowel persoonlijke als zakelijke, hetzij landelijke of gewestelijke of gemeentelijke belastingen. Vervolgens is een aantal categorieën heffingen uitgezonderd van de vrijstelling, zodat de diplomaat hiervoor wel belastingplichtig is. Het betreft onder andere: belastingen en rechten op particulier onroerend goed dat gelegen is op het grondgebied van de ontvangende staat tenzij hij dit onroerend goed onder zich heeft ten behoeve van de zendstaat voor de werkzaamheden van de zending (onderdeel b); en heffingen wegens bepaalde verleende diensten (onderdeel e). </w:t>
      </w:r>
    </w:p>
    <w:p w14:paraId="3C668250" w14:textId="77777777" w:rsidR="00157600" w:rsidRDefault="00157600" w:rsidP="00157600">
      <w:pPr>
        <w:pStyle w:val="NormalWeb"/>
        <w:rPr>
          <w:rFonts w:ascii="swiftef_lightregular" w:hAnsi="swiftef_lightregular"/>
          <w:color w:val="000000"/>
          <w:sz w:val="27"/>
          <w:szCs w:val="27"/>
        </w:rPr>
      </w:pPr>
      <w:r>
        <w:rPr>
          <w:rFonts w:ascii="swiftef_lightregular" w:hAnsi="swiftef_lightregular"/>
          <w:color w:val="000000"/>
          <w:sz w:val="27"/>
          <w:szCs w:val="27"/>
        </w:rPr>
        <w:t>Op grond van deze verdragstekst zou de diplomaat bijvoorbeeld wel (on)roerende-zaakbelastingen of forensenbelasting verschuldigd zijn aan de gemeente voor de woning waarin hij verblijft en ook bijvoorbeeld leges vanwege de aanvraag van een omgevingsvergunning voor bijvoorbeeld de verbouwing van zijn woning. </w:t>
      </w:r>
    </w:p>
    <w:p w14:paraId="37D6CD23" w14:textId="77777777" w:rsidR="00157600" w:rsidRDefault="00157600" w:rsidP="00157600">
      <w:pPr>
        <w:pStyle w:val="NormalWeb"/>
        <w:rPr>
          <w:rStyle w:val="Heading2Char"/>
        </w:rPr>
      </w:pPr>
      <w:r w:rsidRPr="00157600">
        <w:rPr>
          <w:rStyle w:val="Heading2Char"/>
        </w:rPr>
        <w:lastRenderedPageBreak/>
        <w:t>Regeling diplomatieke en internationale vrijstellingen gemeentelijke belastingen</w:t>
      </w:r>
    </w:p>
    <w:p w14:paraId="43A1FDB8" w14:textId="4A7CFBDB" w:rsidR="00157600" w:rsidRDefault="00157600" w:rsidP="00157600">
      <w:pPr>
        <w:pStyle w:val="NormalWeb"/>
        <w:rPr>
          <w:rFonts w:ascii="swiftef_lightregular" w:hAnsi="swiftef_lightregular"/>
          <w:color w:val="000000"/>
          <w:sz w:val="27"/>
          <w:szCs w:val="27"/>
        </w:rPr>
      </w:pPr>
      <w:r>
        <w:rPr>
          <w:rFonts w:ascii="swiftef_lightregular" w:hAnsi="swiftef_lightregular"/>
          <w:color w:val="000000"/>
          <w:sz w:val="27"/>
          <w:szCs w:val="27"/>
        </w:rPr>
        <w:t xml:space="preserve">De Regeling diplomatieke en internationale vrijstellingen gemeentelijke belastingen sluit niet helemaal aan bij de verdragstekst. In de regeling is bijvoorbeeld toch een vrijstelling opgenomen van de ozb, de </w:t>
      </w:r>
      <w:proofErr w:type="spellStart"/>
      <w:r>
        <w:rPr>
          <w:rFonts w:ascii="swiftef_lightregular" w:hAnsi="swiftef_lightregular"/>
          <w:color w:val="000000"/>
          <w:sz w:val="27"/>
          <w:szCs w:val="27"/>
        </w:rPr>
        <w:t>rrb</w:t>
      </w:r>
      <w:proofErr w:type="spellEnd"/>
      <w:r>
        <w:rPr>
          <w:rFonts w:ascii="swiftef_lightregular" w:hAnsi="swiftef_lightregular"/>
          <w:color w:val="000000"/>
          <w:sz w:val="27"/>
          <w:szCs w:val="27"/>
        </w:rPr>
        <w:t xml:space="preserve"> en de forensenbelasting, die worden geheven ter zake van onroerende zaken (art. 1, lid 1 onderdelen a-e). Weliswaar zijn daar voorwaarden aan verbonden, zoals wederkerigheid en niet-duurzaam verblijf, maar toch gaat deze regeling verder dan op grond van het verdrag strikt noodzakelijk is.</w:t>
      </w:r>
    </w:p>
    <w:p w14:paraId="388F60B3" w14:textId="77777777" w:rsidR="00157600" w:rsidRDefault="00157600" w:rsidP="00157600">
      <w:pPr>
        <w:pStyle w:val="NormalWeb"/>
        <w:rPr>
          <w:rFonts w:ascii="swiftef_lightregular" w:hAnsi="swiftef_lightregular"/>
          <w:color w:val="000000"/>
          <w:sz w:val="27"/>
          <w:szCs w:val="27"/>
        </w:rPr>
      </w:pPr>
      <w:r>
        <w:rPr>
          <w:rFonts w:ascii="swiftef_lightregular" w:hAnsi="swiftef_lightregular"/>
          <w:color w:val="000000"/>
          <w:sz w:val="27"/>
          <w:szCs w:val="27"/>
        </w:rPr>
        <w:t xml:space="preserve">Tegelijk is de vraag of de regeling met betrekking tot andere heffingen wellicht niet ver genoeg gaat gezien de verdragstekst. In deze zaak komt aan de orde of er op grond </w:t>
      </w:r>
      <w:proofErr w:type="gramStart"/>
      <w:r>
        <w:rPr>
          <w:rFonts w:ascii="swiftef_lightregular" w:hAnsi="swiftef_lightregular"/>
          <w:color w:val="000000"/>
          <w:sz w:val="27"/>
          <w:szCs w:val="27"/>
        </w:rPr>
        <w:t>van  het</w:t>
      </w:r>
      <w:proofErr w:type="gramEnd"/>
      <w:r>
        <w:rPr>
          <w:rFonts w:ascii="swiftef_lightregular" w:hAnsi="swiftef_lightregular"/>
          <w:color w:val="000000"/>
          <w:sz w:val="27"/>
          <w:szCs w:val="27"/>
        </w:rPr>
        <w:t xml:space="preserve"> verdrag niet ook een vrijstelling van parkeerbelasting zou moeten gelden. Parkeerbelasting is in de regeling niet opgenomen als vrijgestelde gemeentelijke heffing. In de regeling voor rijksbelastingen (art. 33 van de Uitvoeringsregeling Algemene wet </w:t>
      </w:r>
      <w:proofErr w:type="gramStart"/>
      <w:r>
        <w:rPr>
          <w:rFonts w:ascii="swiftef_lightregular" w:hAnsi="swiftef_lightregular"/>
          <w:color w:val="000000"/>
          <w:sz w:val="27"/>
          <w:szCs w:val="27"/>
        </w:rPr>
        <w:t>inzake</w:t>
      </w:r>
      <w:proofErr w:type="gramEnd"/>
      <w:r>
        <w:rPr>
          <w:rFonts w:ascii="swiftef_lightregular" w:hAnsi="swiftef_lightregular"/>
          <w:color w:val="000000"/>
          <w:sz w:val="27"/>
          <w:szCs w:val="27"/>
        </w:rPr>
        <w:t xml:space="preserve"> rijksbelastingen 1994) is bijvoorbeeld wel een vrijstelling opgenomen van MRB en BPM, indien deze belastingen worden geheven van voertuigen bestemd voor persoonlijk gebruik en met een diplomatiek (CD-)kenteken. </w:t>
      </w:r>
    </w:p>
    <w:p w14:paraId="2326BDBC" w14:textId="77777777" w:rsidR="00157600" w:rsidRDefault="00157600" w:rsidP="00157600">
      <w:pPr>
        <w:pStyle w:val="NormalWeb"/>
        <w:rPr>
          <w:rStyle w:val="Heading2Char"/>
        </w:rPr>
      </w:pPr>
      <w:r w:rsidRPr="00157600">
        <w:rPr>
          <w:rStyle w:val="Heading2Char"/>
        </w:rPr>
        <w:t>Heffing wegens verleende diensten?</w:t>
      </w:r>
    </w:p>
    <w:p w14:paraId="6F7D793C" w14:textId="4A4DBBB4" w:rsidR="00157600" w:rsidRDefault="00157600" w:rsidP="00157600">
      <w:pPr>
        <w:pStyle w:val="NormalWeb"/>
        <w:rPr>
          <w:rFonts w:ascii="swiftef_lightregular" w:hAnsi="swiftef_lightregular"/>
          <w:color w:val="000000"/>
          <w:sz w:val="27"/>
          <w:szCs w:val="27"/>
        </w:rPr>
      </w:pPr>
      <w:r>
        <w:rPr>
          <w:rFonts w:ascii="swiftef_lightregular" w:hAnsi="swiftef_lightregular"/>
          <w:color w:val="000000"/>
          <w:sz w:val="27"/>
          <w:szCs w:val="27"/>
        </w:rPr>
        <w:t xml:space="preserve">De heffingsambtenaar van de gemeente Den Haag betoogt in cassatie, dat parkeerbelasting wordt geheven vanwege bepaalde verleende diensten, zodat de uitzondering van art. 34 onderdeel e van het verdrag van toepassing is. Die stelling is vanwege de historische context van de parkeerbelastingen wellicht niet zo gek bedacht. Voordat de parkeerbelasting werd vormgegeven als belasting, hetgeen in 1991 is gebeurd om de handhaving en het in rekening brengen van kosten beter mogelijk te maken, was sprake van parkeerrechten. De grondslag voor deze retributie was het gebruik van gemeentegrond voor het parkeren van het voertuig. In die zin heeft ook de huidige parkeerbelasting nog een enigszins </w:t>
      </w:r>
      <w:proofErr w:type="spellStart"/>
      <w:r>
        <w:rPr>
          <w:rFonts w:ascii="swiftef_lightregular" w:hAnsi="swiftef_lightregular"/>
          <w:color w:val="000000"/>
          <w:sz w:val="27"/>
          <w:szCs w:val="27"/>
        </w:rPr>
        <w:t>retributief</w:t>
      </w:r>
      <w:proofErr w:type="spellEnd"/>
      <w:r>
        <w:rPr>
          <w:rFonts w:ascii="swiftef_lightregular" w:hAnsi="swiftef_lightregular"/>
          <w:color w:val="000000"/>
          <w:sz w:val="27"/>
          <w:szCs w:val="27"/>
        </w:rPr>
        <w:t xml:space="preserve"> karakter. Door te parkeren wordt in principe openbaar toegankelijke grond (publieke ruimte) tijdelijk ingenomen in verband met particulier gebruik. Datzelfde geldt overigens voor de precariobelasting, die ook is vormgegeven als een belasting, maar wordt geheven ter zake van het hebben van voorwerpen op (onder, of boven) gemeentegrond. De opbrengst van de parkeerbelasting (en ook van de precariobelasting) vloeit echter naar de algemene middelen van de gemeente en de besteding ervan is vrij. Tegenover de </w:t>
      </w:r>
      <w:proofErr w:type="spellStart"/>
      <w:r>
        <w:rPr>
          <w:rFonts w:ascii="swiftef_lightregular" w:hAnsi="swiftef_lightregular"/>
          <w:color w:val="000000"/>
          <w:sz w:val="27"/>
          <w:szCs w:val="27"/>
        </w:rPr>
        <w:t>hefffing</w:t>
      </w:r>
      <w:proofErr w:type="spellEnd"/>
      <w:r>
        <w:rPr>
          <w:rFonts w:ascii="swiftef_lightregular" w:hAnsi="swiftef_lightregular"/>
          <w:color w:val="000000"/>
          <w:sz w:val="27"/>
          <w:szCs w:val="27"/>
        </w:rPr>
        <w:t xml:space="preserve"> staat bovendien (althans wettelijk) geen concreet aanwijsbare tegenprestatie van de overheid en er geldt geen opbrengstnorm voor de heffing. De A-G concludeert dan ook dat de uitzondering voor 'heffingen vanwege </w:t>
      </w:r>
      <w:r>
        <w:rPr>
          <w:rFonts w:ascii="swiftef_lightregular" w:hAnsi="swiftef_lightregular"/>
          <w:color w:val="000000"/>
          <w:sz w:val="27"/>
          <w:szCs w:val="27"/>
        </w:rPr>
        <w:lastRenderedPageBreak/>
        <w:t>bepaalde verleende diensten' hier niet van toepassing is en dat diplomaten een vrijstelling dient te worden toegekend van de parkeerbelasting. </w:t>
      </w:r>
    </w:p>
    <w:p w14:paraId="452CCAC2" w14:textId="77777777" w:rsidR="00157600" w:rsidRDefault="00157600" w:rsidP="00157600">
      <w:pPr>
        <w:pStyle w:val="NormalWeb"/>
        <w:rPr>
          <w:rStyle w:val="Heading2Char"/>
        </w:rPr>
      </w:pPr>
      <w:r w:rsidRPr="00157600">
        <w:rPr>
          <w:rStyle w:val="Heading2Char"/>
        </w:rPr>
        <w:t>Bestemmingsheffingen en omgevormde heffingen</w:t>
      </w:r>
    </w:p>
    <w:p w14:paraId="3BA0D434" w14:textId="2049AADE" w:rsidR="00157600" w:rsidRDefault="00157600" w:rsidP="00157600">
      <w:pPr>
        <w:pStyle w:val="NormalWeb"/>
        <w:rPr>
          <w:rFonts w:ascii="swiftef_lightregular" w:hAnsi="swiftef_lightregular"/>
          <w:color w:val="000000"/>
          <w:sz w:val="27"/>
          <w:szCs w:val="27"/>
        </w:rPr>
      </w:pPr>
      <w:r>
        <w:rPr>
          <w:rFonts w:ascii="swiftef_lightregular" w:hAnsi="swiftef_lightregular"/>
          <w:color w:val="000000"/>
          <w:sz w:val="27"/>
          <w:szCs w:val="27"/>
        </w:rPr>
        <w:t xml:space="preserve">Dit roept de vraag op wanneer nu sprake is van heffing vanwege bepaalde verleende diensten die de diplomaat wel dient te betalen. In de Nederlandse context gesteld: ziet deze uitzondering alleen op de retributies genoemd in artikel 229 van de Gemeentewet? Of vallen hieronder ook de wettelijk bepaalde bestemmingsheffingen, zoals de baatbelasting, rioolheffing en afvalstoffenheffing? De rioolheffing is bijvoorbeeld sinds 2010 wettelijk omgevormd van een retributie (rioolrechten, vanwege het gebruik van de gemeentelijke riolering) naar een belasting voor een bepaald doel en met een opbrengstnorm (bestemmingsheffing). Is met het veranderen van retributie naar bestemmingsheffing ook de uitzondering komen te vervallen? Er hoeft blijkens de wetsgeschiedenis immers geen sprake meer te zijn van een rechtstreekse tegenprestatie in de vorm van een verleende dienst of een voorziening waarvan </w:t>
      </w:r>
      <w:proofErr w:type="gramStart"/>
      <w:r>
        <w:rPr>
          <w:rFonts w:ascii="swiftef_lightregular" w:hAnsi="swiftef_lightregular"/>
          <w:color w:val="000000"/>
          <w:sz w:val="27"/>
          <w:szCs w:val="27"/>
        </w:rPr>
        <w:t>de</w:t>
      </w:r>
      <w:proofErr w:type="gramEnd"/>
      <w:r>
        <w:rPr>
          <w:rFonts w:ascii="swiftef_lightregular" w:hAnsi="swiftef_lightregular"/>
          <w:color w:val="000000"/>
          <w:sz w:val="27"/>
          <w:szCs w:val="27"/>
        </w:rPr>
        <w:t xml:space="preserve"> belastingplichtige gebruik maakt. Voldoende is dat de gemeente ten aanzien van het perceel een taak heeft (en uitvoert), waarvoor de rioolheffing geheven mag worden. En hoe zit het met de door de gemeente zelf van algemene belasting tot bestemmingsheffing omgevormde heffingen, zoals een eventuele hondenbelasting waarvan de opbrengst door de gemeente zelf is bestemd ter bekostiging van het hondenbeleid binnen de gemeente (denk aan </w:t>
      </w:r>
      <w:proofErr w:type="spellStart"/>
      <w:r>
        <w:rPr>
          <w:rFonts w:ascii="swiftef_lightregular" w:hAnsi="swiftef_lightregular"/>
          <w:color w:val="000000"/>
          <w:sz w:val="27"/>
          <w:szCs w:val="27"/>
        </w:rPr>
        <w:t>hondenuitlaatplaatsen</w:t>
      </w:r>
      <w:proofErr w:type="spellEnd"/>
      <w:r>
        <w:rPr>
          <w:rFonts w:ascii="swiftef_lightregular" w:hAnsi="swiftef_lightregular"/>
          <w:color w:val="000000"/>
          <w:sz w:val="27"/>
          <w:szCs w:val="27"/>
        </w:rPr>
        <w:t>)? Geldt de vrijstelling voor diplomaten voor deze heffingen wel of niet?</w:t>
      </w:r>
    </w:p>
    <w:p w14:paraId="23F9ADD4" w14:textId="77777777" w:rsidR="00157600" w:rsidRDefault="00157600" w:rsidP="00157600">
      <w:pPr>
        <w:pStyle w:val="NormalWeb"/>
        <w:rPr>
          <w:rFonts w:ascii="swiftef_lightregular" w:hAnsi="swiftef_lightregular"/>
          <w:color w:val="000000"/>
          <w:sz w:val="27"/>
          <w:szCs w:val="27"/>
        </w:rPr>
      </w:pPr>
      <w:r>
        <w:rPr>
          <w:rFonts w:ascii="swiftef_lightregular" w:hAnsi="swiftef_lightregular"/>
          <w:color w:val="000000"/>
          <w:sz w:val="27"/>
          <w:szCs w:val="27"/>
        </w:rPr>
        <w:t xml:space="preserve">In de conclusie wordt het commentaar van </w:t>
      </w:r>
      <w:proofErr w:type="spellStart"/>
      <w:r>
        <w:rPr>
          <w:rFonts w:ascii="swiftef_lightregular" w:hAnsi="swiftef_lightregular"/>
          <w:color w:val="000000"/>
          <w:sz w:val="27"/>
          <w:szCs w:val="27"/>
        </w:rPr>
        <w:t>Eileen</w:t>
      </w:r>
      <w:proofErr w:type="spellEnd"/>
      <w:r>
        <w:rPr>
          <w:rFonts w:ascii="swiftef_lightregular" w:hAnsi="swiftef_lightregular"/>
          <w:color w:val="000000"/>
          <w:sz w:val="27"/>
          <w:szCs w:val="27"/>
        </w:rPr>
        <w:t xml:space="preserve"> </w:t>
      </w:r>
      <w:proofErr w:type="spellStart"/>
      <w:r>
        <w:rPr>
          <w:rFonts w:ascii="swiftef_lightregular" w:hAnsi="swiftef_lightregular"/>
          <w:color w:val="000000"/>
          <w:sz w:val="27"/>
          <w:szCs w:val="27"/>
        </w:rPr>
        <w:t>Denza</w:t>
      </w:r>
      <w:proofErr w:type="spellEnd"/>
      <w:r>
        <w:rPr>
          <w:rFonts w:ascii="swiftef_lightregular" w:hAnsi="swiftef_lightregular"/>
          <w:color w:val="000000"/>
          <w:sz w:val="27"/>
          <w:szCs w:val="27"/>
        </w:rPr>
        <w:t xml:space="preserve"> (Oxford University Press) op het verdragsartikel aangehaald, waarin doorslaggevend wordt geacht of het belastingbedrag in redelijke verhouding staat tot de kosten van de dienstverlening. Als deze maatstaf wordt aangehouden, zouden de rioolheffing en de afvalstoffenheffing in ieder geval onder de uitzondering vallen en dus niet vrijgesteld zijn. Tegenover het belastingbedrag staat immers de dienstverlening van het afvoeren van huishoudelijk afval (afvalstoffenheffing) en huishoudelijk afvalwater en hemelwater (rioolheffing) en de geheven bedragen mogen in totaal niet hoger zijn dan de totale kosten van deze taakuitvoering. Het is overigens bestaande praktijk dat van deze gemeentelijke heffingen geen vrijstelling wordt verleend. Voor overige heffingen zal per geval moeten worden beoordeeld of er een tegenprestatie tegenover staat (dienstverlening) en of de hoogte van de heffing in redelijke verhouding staat tot de kosten van deze tegenprestatie, hetgeen wel steeds het geval zal zijn indien voor de heffing een opbrengstlimiet </w:t>
      </w:r>
      <w:r>
        <w:rPr>
          <w:rFonts w:ascii="swiftef_lightregular" w:hAnsi="swiftef_lightregular"/>
          <w:color w:val="000000"/>
          <w:sz w:val="27"/>
          <w:szCs w:val="27"/>
        </w:rPr>
        <w:lastRenderedPageBreak/>
        <w:t xml:space="preserve">als in artikel 229b Gemeentewet geldt (de geraamde baten mogen de geraamde lasten </w:t>
      </w:r>
      <w:proofErr w:type="spellStart"/>
      <w:r>
        <w:rPr>
          <w:rFonts w:ascii="swiftef_lightregular" w:hAnsi="swiftef_lightregular"/>
          <w:color w:val="000000"/>
          <w:sz w:val="27"/>
          <w:szCs w:val="27"/>
        </w:rPr>
        <w:t>terzake</w:t>
      </w:r>
      <w:proofErr w:type="spellEnd"/>
      <w:r>
        <w:rPr>
          <w:rFonts w:ascii="swiftef_lightregular" w:hAnsi="swiftef_lightregular"/>
          <w:color w:val="000000"/>
          <w:sz w:val="27"/>
          <w:szCs w:val="27"/>
        </w:rPr>
        <w:t xml:space="preserve"> niet overschrijden). </w:t>
      </w:r>
    </w:p>
    <w:p w14:paraId="4A4C23BA" w14:textId="77777777" w:rsidR="00157600" w:rsidRDefault="00157600" w:rsidP="00157600">
      <w:pPr>
        <w:pStyle w:val="NormalWeb"/>
        <w:rPr>
          <w:rStyle w:val="Heading2Char"/>
        </w:rPr>
      </w:pPr>
      <w:proofErr w:type="spellStart"/>
      <w:r w:rsidRPr="00157600">
        <w:rPr>
          <w:rStyle w:val="Heading2Char"/>
        </w:rPr>
        <w:t>Vergunningparkeren</w:t>
      </w:r>
      <w:proofErr w:type="spellEnd"/>
    </w:p>
    <w:p w14:paraId="3C8E56D0" w14:textId="626B5296" w:rsidR="00157600" w:rsidRDefault="00157600" w:rsidP="00157600">
      <w:pPr>
        <w:pStyle w:val="NormalWeb"/>
        <w:rPr>
          <w:rFonts w:ascii="swiftef_lightregular" w:hAnsi="swiftef_lightregular"/>
          <w:color w:val="000000"/>
          <w:sz w:val="27"/>
          <w:szCs w:val="27"/>
        </w:rPr>
      </w:pPr>
      <w:r>
        <w:rPr>
          <w:rFonts w:ascii="swiftef_lightregular" w:hAnsi="swiftef_lightregular"/>
          <w:color w:val="000000"/>
          <w:sz w:val="27"/>
          <w:szCs w:val="27"/>
        </w:rPr>
        <w:t>Een andere vraag die men naar aanleiding van deze conclusie kan stellen, is hoe te oordelen over de parkeerbelasting bedoeld in artikel 225 lid 1 onder b, van de Gemeentewet. Deze parkeerbelasting wordt geheven voor het verlenen van een parkeervergunning, zodat hiertegenover wel een rechtstreekse tegenprestatie van de gemeente staat. De vergunning geeft recht op het parkeren van een voertuig op bepaalde plaatsen en gedurende een bepaalde periode. Er geldt echter geen opbrengstnorm voor deze belasting. De hoogte van het verschuldigde bedrag is dus niet wettelijk gerelateerd aan (gemaximeerd tot) de hoogte van de kosten verbonden aan de tegenprestatie. De vraag is dan ook, of de hoogte van deze vergunning-parkeerbelasting in redelijke verhouding staat tot de (kosten van de) tegenprestatie. Wellicht dat dit in een latere procedure nog eens aan de orde komt. </w:t>
      </w:r>
    </w:p>
    <w:p w14:paraId="2C80D92F" w14:textId="77777777" w:rsidR="00A40546" w:rsidRPr="00157600" w:rsidRDefault="00A40546">
      <w:pPr>
        <w:rPr>
          <w:lang w:val="nl-NL"/>
        </w:rPr>
      </w:pPr>
    </w:p>
    <w:sectPr w:rsidR="00A40546" w:rsidRPr="0015760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Lora">
    <w:altName w:val="Cambria"/>
    <w:panose1 w:val="00000000000000000000"/>
    <w:charset w:val="00"/>
    <w:family w:val="roman"/>
    <w:notTrueType/>
    <w:pitch w:val="default"/>
  </w:font>
  <w:font w:name="swiftef_lightregular">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600"/>
    <w:rsid w:val="00157600"/>
    <w:rsid w:val="004B5623"/>
    <w:rsid w:val="00A40546"/>
    <w:rsid w:val="00AE0F47"/>
    <w:rsid w:val="00C23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CA7B7"/>
  <w15:chartTrackingRefBased/>
  <w15:docId w15:val="{610F1D31-B0A7-469E-82AF-104E8A76D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76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576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7600"/>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Heading1Char">
    <w:name w:val="Heading 1 Char"/>
    <w:basedOn w:val="DefaultParagraphFont"/>
    <w:link w:val="Heading1"/>
    <w:uiPriority w:val="9"/>
    <w:rsid w:val="0015760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5760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692262">
      <w:bodyDiv w:val="1"/>
      <w:marLeft w:val="0"/>
      <w:marRight w:val="0"/>
      <w:marTop w:val="0"/>
      <w:marBottom w:val="0"/>
      <w:divBdr>
        <w:top w:val="none" w:sz="0" w:space="0" w:color="auto"/>
        <w:left w:val="none" w:sz="0" w:space="0" w:color="auto"/>
        <w:bottom w:val="none" w:sz="0" w:space="0" w:color="auto"/>
        <w:right w:val="none" w:sz="0" w:space="0" w:color="auto"/>
      </w:divBdr>
    </w:div>
    <w:div w:id="1504198732">
      <w:bodyDiv w:val="1"/>
      <w:marLeft w:val="0"/>
      <w:marRight w:val="0"/>
      <w:marTop w:val="0"/>
      <w:marBottom w:val="0"/>
      <w:divBdr>
        <w:top w:val="none" w:sz="0" w:space="0" w:color="auto"/>
        <w:left w:val="none" w:sz="0" w:space="0" w:color="auto"/>
        <w:bottom w:val="none" w:sz="0" w:space="0" w:color="auto"/>
        <w:right w:val="none" w:sz="0" w:space="0" w:color="auto"/>
      </w:divBdr>
    </w:div>
    <w:div w:id="2065330400">
      <w:bodyDiv w:val="1"/>
      <w:marLeft w:val="0"/>
      <w:marRight w:val="0"/>
      <w:marTop w:val="0"/>
      <w:marBottom w:val="0"/>
      <w:divBdr>
        <w:top w:val="none" w:sz="0" w:space="0" w:color="auto"/>
        <w:left w:val="none" w:sz="0" w:space="0" w:color="auto"/>
        <w:bottom w:val="none" w:sz="0" w:space="0" w:color="auto"/>
        <w:right w:val="none" w:sz="0" w:space="0" w:color="auto"/>
      </w:divBdr>
      <w:divsChild>
        <w:div w:id="1727338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1348</Words>
  <Characters>7417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Erasmus Universiteit</Company>
  <LinksUpToDate>false</LinksUpToDate>
  <CharactersWithSpaces>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Anneke Monsma</dc:creator>
  <cp:keywords/>
  <dc:description/>
  <cp:lastModifiedBy>Anneke Monsma</cp:lastModifiedBy>
  <cp:revision>1</cp:revision>
  <dcterms:created xsi:type="dcterms:W3CDTF">2020-08-28T13:05:00Z</dcterms:created>
  <dcterms:modified xsi:type="dcterms:W3CDTF">2020-08-28T13:17:00Z</dcterms:modified>
</cp:coreProperties>
</file>