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618D" w:rsidRPr="007470F4" w:rsidRDefault="00E8618D" w:rsidP="00723741">
      <w:pPr>
        <w:jc w:val="center"/>
        <w:rPr>
          <w:rFonts w:ascii="Times New Roman" w:hAnsi="Times New Roman" w:cs="Times New Roman"/>
          <w:b/>
          <w:noProof/>
          <w:sz w:val="36"/>
          <w:szCs w:val="36"/>
        </w:rPr>
      </w:pPr>
      <w:bookmarkStart w:id="0" w:name="_Hlk488506217"/>
      <w:bookmarkStart w:id="1" w:name="OLE_LINK1"/>
      <w:bookmarkEnd w:id="0"/>
      <w:r w:rsidRPr="007470F4">
        <w:rPr>
          <w:rFonts w:ascii="Times New Roman" w:hAnsi="Times New Roman" w:cs="Times New Roman"/>
          <w:b/>
          <w:noProof/>
          <w:sz w:val="36"/>
          <w:szCs w:val="36"/>
        </w:rPr>
        <w:t xml:space="preserve">Disability-adjusted life years averted </w:t>
      </w:r>
      <w:r>
        <w:rPr>
          <w:rFonts w:ascii="Times New Roman" w:hAnsi="Times New Roman" w:cs="Times New Roman"/>
          <w:b/>
          <w:noProof/>
          <w:sz w:val="36"/>
          <w:szCs w:val="36"/>
        </w:rPr>
        <w:t xml:space="preserve">versus </w:t>
      </w:r>
      <w:r w:rsidRPr="007470F4">
        <w:rPr>
          <w:rFonts w:ascii="Times New Roman" w:hAnsi="Times New Roman" w:cs="Times New Roman"/>
          <w:b/>
          <w:noProof/>
          <w:sz w:val="36"/>
          <w:szCs w:val="36"/>
        </w:rPr>
        <w:t xml:space="preserve">quality-adjusted life years gained: </w:t>
      </w:r>
      <w:r>
        <w:rPr>
          <w:rFonts w:ascii="Times New Roman" w:hAnsi="Times New Roman" w:cs="Times New Roman"/>
          <w:b/>
          <w:noProof/>
          <w:sz w:val="36"/>
          <w:szCs w:val="36"/>
        </w:rPr>
        <w:t xml:space="preserve">a </w:t>
      </w:r>
      <w:r w:rsidRPr="007470F4">
        <w:rPr>
          <w:rFonts w:ascii="Times New Roman" w:hAnsi="Times New Roman" w:cs="Times New Roman"/>
          <w:b/>
          <w:noProof/>
          <w:sz w:val="36"/>
          <w:szCs w:val="36"/>
        </w:rPr>
        <w:t>model analysis for breast cancer screening</w:t>
      </w:r>
    </w:p>
    <w:bookmarkEnd w:id="1"/>
    <w:p w:rsidR="00E8618D" w:rsidRPr="00C856B8" w:rsidRDefault="00E8618D" w:rsidP="00723741">
      <w:pPr>
        <w:autoSpaceDE w:val="0"/>
        <w:autoSpaceDN w:val="0"/>
        <w:adjustRightInd w:val="0"/>
        <w:spacing w:after="0"/>
        <w:jc w:val="center"/>
        <w:rPr>
          <w:rFonts w:ascii="Times New Roman" w:eastAsia="Times New Roman" w:hAnsi="Times New Roman" w:cs="Times New Roman"/>
          <w:sz w:val="32"/>
          <w:szCs w:val="32"/>
          <w:lang w:val="nl-NL"/>
        </w:rPr>
      </w:pPr>
      <w:r w:rsidRPr="007470F4">
        <w:rPr>
          <w:rFonts w:ascii="Times New Roman" w:eastAsia="Times New Roman" w:hAnsi="Times New Roman" w:cs="Times New Roman"/>
          <w:sz w:val="32"/>
          <w:szCs w:val="32"/>
          <w:lang w:val="nl-NL"/>
        </w:rPr>
        <w:t>Maša Davidović</w:t>
      </w:r>
      <w:r w:rsidRPr="007470F4">
        <w:rPr>
          <w:rFonts w:ascii="Times New Roman" w:eastAsia="Times New Roman" w:hAnsi="Times New Roman" w:cs="Times New Roman"/>
          <w:sz w:val="32"/>
          <w:szCs w:val="32"/>
          <w:vertAlign w:val="superscript"/>
          <w:lang w:val="nl-NL"/>
        </w:rPr>
        <w:t>1</w:t>
      </w:r>
      <w:r>
        <w:rPr>
          <w:rFonts w:ascii="Times New Roman" w:eastAsia="Times New Roman" w:hAnsi="Times New Roman" w:cs="Times New Roman"/>
          <w:sz w:val="32"/>
          <w:szCs w:val="32"/>
          <w:vertAlign w:val="superscript"/>
          <w:lang w:val="nl-NL"/>
        </w:rPr>
        <w:t>,2</w:t>
      </w:r>
      <w:r w:rsidRPr="007470F4">
        <w:rPr>
          <w:rFonts w:ascii="Times New Roman" w:eastAsia="Times New Roman" w:hAnsi="Times New Roman" w:cs="Times New Roman"/>
          <w:sz w:val="32"/>
          <w:szCs w:val="32"/>
          <w:lang w:val="nl-NL"/>
        </w:rPr>
        <w:t xml:space="preserve">, </w:t>
      </w:r>
      <w:bookmarkStart w:id="2" w:name="_Hlk6158356"/>
      <w:r w:rsidRPr="007470F4">
        <w:rPr>
          <w:rFonts w:ascii="Times New Roman" w:eastAsia="Times New Roman" w:hAnsi="Times New Roman" w:cs="Times New Roman"/>
          <w:sz w:val="32"/>
          <w:szCs w:val="32"/>
          <w:lang w:val="nl-NL"/>
        </w:rPr>
        <w:t>Nadine Zielonke</w:t>
      </w:r>
      <w:r>
        <w:rPr>
          <w:rFonts w:ascii="Times New Roman" w:eastAsia="Times New Roman" w:hAnsi="Times New Roman" w:cs="Times New Roman"/>
          <w:sz w:val="32"/>
          <w:szCs w:val="32"/>
          <w:vertAlign w:val="superscript"/>
          <w:lang w:val="nl-NL"/>
        </w:rPr>
        <w:t>1</w:t>
      </w:r>
      <w:r w:rsidRPr="007470F4">
        <w:rPr>
          <w:rFonts w:ascii="Times New Roman" w:eastAsia="Times New Roman" w:hAnsi="Times New Roman" w:cs="Times New Roman"/>
          <w:sz w:val="32"/>
          <w:szCs w:val="32"/>
          <w:lang w:val="nl-NL"/>
        </w:rPr>
        <w:t>, Iris Lansdorp-Vogelaar</w:t>
      </w:r>
      <w:r>
        <w:rPr>
          <w:rFonts w:ascii="Times New Roman" w:eastAsia="Times New Roman" w:hAnsi="Times New Roman" w:cs="Times New Roman"/>
          <w:sz w:val="32"/>
          <w:szCs w:val="32"/>
          <w:vertAlign w:val="superscript"/>
          <w:lang w:val="nl-NL"/>
        </w:rPr>
        <w:t>1</w:t>
      </w:r>
      <w:r>
        <w:rPr>
          <w:rFonts w:ascii="Times New Roman" w:eastAsia="Times New Roman" w:hAnsi="Times New Roman" w:cs="Times New Roman"/>
          <w:sz w:val="32"/>
          <w:szCs w:val="32"/>
          <w:lang w:val="nl-NL"/>
        </w:rPr>
        <w:t xml:space="preserve">, </w:t>
      </w:r>
      <w:proofErr w:type="spellStart"/>
      <w:r>
        <w:rPr>
          <w:rFonts w:ascii="Times New Roman" w:eastAsia="Times New Roman" w:hAnsi="Times New Roman" w:cs="Times New Roman"/>
          <w:sz w:val="32"/>
          <w:szCs w:val="32"/>
          <w:lang w:val="nl-NL"/>
        </w:rPr>
        <w:t>Nereo</w:t>
      </w:r>
      <w:proofErr w:type="spellEnd"/>
      <w:r>
        <w:rPr>
          <w:rFonts w:ascii="Times New Roman" w:eastAsia="Times New Roman" w:hAnsi="Times New Roman" w:cs="Times New Roman"/>
          <w:sz w:val="32"/>
          <w:szCs w:val="32"/>
          <w:lang w:val="nl-NL"/>
        </w:rPr>
        <w:t xml:space="preserve"> Segnan</w:t>
      </w:r>
      <w:r w:rsidRPr="00F608B7">
        <w:rPr>
          <w:rFonts w:ascii="Times New Roman" w:eastAsia="Times New Roman" w:hAnsi="Times New Roman" w:cs="Times New Roman"/>
          <w:sz w:val="32"/>
          <w:szCs w:val="32"/>
          <w:vertAlign w:val="superscript"/>
          <w:lang w:val="nl-NL"/>
        </w:rPr>
        <w:t>3</w:t>
      </w:r>
      <w:r>
        <w:rPr>
          <w:rFonts w:ascii="Times New Roman" w:eastAsia="Times New Roman" w:hAnsi="Times New Roman" w:cs="Times New Roman"/>
          <w:sz w:val="32"/>
          <w:szCs w:val="32"/>
          <w:lang w:val="nl-NL"/>
        </w:rPr>
        <w:t>, Harry J. de Koning</w:t>
      </w:r>
      <w:r w:rsidRPr="00C856B8">
        <w:rPr>
          <w:rFonts w:ascii="Times New Roman" w:eastAsia="Times New Roman" w:hAnsi="Times New Roman" w:cs="Times New Roman"/>
          <w:sz w:val="32"/>
          <w:szCs w:val="32"/>
          <w:vertAlign w:val="superscript"/>
          <w:lang w:val="nl-NL"/>
        </w:rPr>
        <w:t>1</w:t>
      </w:r>
      <w:r>
        <w:rPr>
          <w:rFonts w:ascii="Times New Roman" w:eastAsia="Times New Roman" w:hAnsi="Times New Roman" w:cs="Times New Roman"/>
          <w:sz w:val="32"/>
          <w:szCs w:val="32"/>
          <w:lang w:val="nl-NL"/>
        </w:rPr>
        <w:t xml:space="preserve">, </w:t>
      </w:r>
      <w:r w:rsidRPr="007470F4">
        <w:rPr>
          <w:rFonts w:ascii="Times New Roman" w:eastAsia="Times New Roman" w:hAnsi="Times New Roman" w:cs="Times New Roman"/>
          <w:sz w:val="32"/>
          <w:szCs w:val="32"/>
          <w:lang w:val="nl-NL"/>
        </w:rPr>
        <w:t>Eveline AM Heijnsdijk</w:t>
      </w:r>
      <w:bookmarkEnd w:id="2"/>
      <w:r>
        <w:rPr>
          <w:rFonts w:ascii="Times New Roman" w:eastAsia="Times New Roman" w:hAnsi="Times New Roman" w:cs="Times New Roman"/>
          <w:sz w:val="32"/>
          <w:szCs w:val="32"/>
          <w:vertAlign w:val="superscript"/>
          <w:lang w:val="nl-NL"/>
        </w:rPr>
        <w:t>1</w:t>
      </w:r>
    </w:p>
    <w:p w:rsidR="00E8618D" w:rsidRPr="006C21E4" w:rsidRDefault="00E8618D" w:rsidP="00723741">
      <w:pPr>
        <w:autoSpaceDE w:val="0"/>
        <w:autoSpaceDN w:val="0"/>
        <w:adjustRightInd w:val="0"/>
        <w:spacing w:after="0"/>
        <w:rPr>
          <w:rFonts w:ascii="Times New Roman" w:eastAsia="Times New Roman" w:hAnsi="Times New Roman" w:cs="Times New Roman"/>
          <w:sz w:val="20"/>
          <w:szCs w:val="20"/>
        </w:rPr>
      </w:pPr>
      <w:r w:rsidRPr="006C21E4">
        <w:rPr>
          <w:rFonts w:ascii="Times New Roman" w:eastAsia="Times New Roman" w:hAnsi="Times New Roman" w:cs="Times New Roman"/>
          <w:sz w:val="20"/>
          <w:szCs w:val="20"/>
          <w:vertAlign w:val="superscript"/>
        </w:rPr>
        <w:t xml:space="preserve">1 </w:t>
      </w:r>
      <w:r w:rsidRPr="006C21E4">
        <w:rPr>
          <w:rFonts w:ascii="Times New Roman" w:eastAsia="Times New Roman" w:hAnsi="Times New Roman" w:cs="Times New Roman"/>
          <w:sz w:val="20"/>
          <w:szCs w:val="20"/>
        </w:rPr>
        <w:t>Department of Public Health, Erasmus MC, University Medical Center Rotterdam, Rotterdam, the Netherlands</w:t>
      </w:r>
    </w:p>
    <w:p w:rsidR="00E8618D" w:rsidRPr="006C21E4" w:rsidRDefault="00E8618D" w:rsidP="00723741">
      <w:pPr>
        <w:autoSpaceDE w:val="0"/>
        <w:autoSpaceDN w:val="0"/>
        <w:adjustRightInd w:val="0"/>
        <w:spacing w:after="0"/>
        <w:rPr>
          <w:rFonts w:ascii="Times New Roman" w:eastAsia="Times New Roman" w:hAnsi="Times New Roman" w:cs="Times New Roman"/>
          <w:sz w:val="20"/>
          <w:szCs w:val="20"/>
        </w:rPr>
      </w:pPr>
      <w:r w:rsidRPr="006C21E4">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vertAlign w:val="superscript"/>
        </w:rPr>
        <w:t xml:space="preserve"> </w:t>
      </w:r>
      <w:r w:rsidR="00002A87">
        <w:rPr>
          <w:rFonts w:ascii="Times New Roman" w:eastAsia="Times New Roman" w:hAnsi="Times New Roman" w:cs="Times New Roman"/>
          <w:sz w:val="20"/>
          <w:szCs w:val="20"/>
        </w:rPr>
        <w:t xml:space="preserve">Graduate School </w:t>
      </w:r>
      <w:r w:rsidR="00CE21F2">
        <w:rPr>
          <w:rFonts w:ascii="Times New Roman" w:eastAsia="Times New Roman" w:hAnsi="Times New Roman" w:cs="Times New Roman"/>
          <w:sz w:val="20"/>
          <w:szCs w:val="20"/>
        </w:rPr>
        <w:t>for</w:t>
      </w:r>
      <w:r w:rsidR="00002A87">
        <w:rPr>
          <w:rFonts w:ascii="Times New Roman" w:eastAsia="Times New Roman" w:hAnsi="Times New Roman" w:cs="Times New Roman"/>
          <w:sz w:val="20"/>
          <w:szCs w:val="20"/>
        </w:rPr>
        <w:t xml:space="preserve"> Health Sciences, U</w:t>
      </w:r>
      <w:r w:rsidRPr="003514E1">
        <w:rPr>
          <w:rFonts w:ascii="Times New Roman" w:eastAsia="Times New Roman" w:hAnsi="Times New Roman" w:cs="Times New Roman"/>
          <w:sz w:val="20"/>
          <w:szCs w:val="20"/>
        </w:rPr>
        <w:t>niversity of Bern, Bern, Switzerland</w:t>
      </w:r>
    </w:p>
    <w:p w:rsidR="00E8618D" w:rsidRPr="006C21E4" w:rsidRDefault="00E8618D" w:rsidP="00723741">
      <w:pPr>
        <w:autoSpaceDE w:val="0"/>
        <w:autoSpaceDN w:val="0"/>
        <w:adjustRightInd w:val="0"/>
        <w:spacing w:after="0"/>
        <w:rPr>
          <w:rFonts w:ascii="Times New Roman" w:eastAsia="Times New Roman" w:hAnsi="Times New Roman" w:cs="Times New Roman"/>
          <w:sz w:val="20"/>
          <w:szCs w:val="20"/>
        </w:rPr>
      </w:pPr>
      <w:r w:rsidRPr="006C21E4">
        <w:rPr>
          <w:rFonts w:ascii="Times New Roman" w:eastAsia="Times New Roman" w:hAnsi="Times New Roman" w:cs="Times New Roman"/>
          <w:sz w:val="20"/>
          <w:szCs w:val="20"/>
          <w:vertAlign w:val="superscript"/>
        </w:rPr>
        <w:t>3</w:t>
      </w:r>
      <w:r w:rsidRPr="006C21E4">
        <w:rPr>
          <w:rFonts w:ascii="Times New Roman" w:eastAsia="Times New Roman" w:hAnsi="Times New Roman" w:cs="Times New Roman"/>
          <w:sz w:val="20"/>
          <w:szCs w:val="20"/>
        </w:rPr>
        <w:t xml:space="preserve"> </w:t>
      </w:r>
      <w:r w:rsidRPr="006C21E4">
        <w:rPr>
          <w:rFonts w:ascii="Times New Roman" w:hAnsi="Times New Roman" w:cs="Times New Roman"/>
          <w:sz w:val="20"/>
          <w:szCs w:val="20"/>
          <w:lang w:val="en"/>
        </w:rPr>
        <w:t xml:space="preserve">Department of </w:t>
      </w:r>
      <w:r w:rsidRPr="006C21E4">
        <w:rPr>
          <w:rStyle w:val="highlight"/>
          <w:rFonts w:ascii="Times New Roman" w:hAnsi="Times New Roman" w:cs="Times New Roman"/>
          <w:sz w:val="20"/>
          <w:szCs w:val="20"/>
          <w:lang w:val="en"/>
        </w:rPr>
        <w:t>Cancer</w:t>
      </w:r>
      <w:r w:rsidRPr="006C21E4">
        <w:rPr>
          <w:rFonts w:ascii="Times New Roman" w:hAnsi="Times New Roman" w:cs="Times New Roman"/>
          <w:sz w:val="20"/>
          <w:szCs w:val="20"/>
          <w:lang w:val="en"/>
        </w:rPr>
        <w:t xml:space="preserve"> </w:t>
      </w:r>
      <w:r w:rsidRPr="006C21E4">
        <w:rPr>
          <w:rStyle w:val="highlight"/>
          <w:rFonts w:ascii="Times New Roman" w:hAnsi="Times New Roman" w:cs="Times New Roman"/>
          <w:sz w:val="20"/>
          <w:szCs w:val="20"/>
          <w:lang w:val="en"/>
        </w:rPr>
        <w:t>Screening</w:t>
      </w:r>
      <w:r w:rsidRPr="006C21E4">
        <w:rPr>
          <w:rFonts w:ascii="Times New Roman" w:hAnsi="Times New Roman" w:cs="Times New Roman"/>
          <w:sz w:val="20"/>
          <w:szCs w:val="20"/>
          <w:lang w:val="en"/>
        </w:rPr>
        <w:t xml:space="preserve">, Unit of </w:t>
      </w:r>
      <w:r w:rsidRPr="006C21E4">
        <w:rPr>
          <w:rStyle w:val="highlight"/>
          <w:rFonts w:ascii="Times New Roman" w:hAnsi="Times New Roman" w:cs="Times New Roman"/>
          <w:sz w:val="20"/>
          <w:szCs w:val="20"/>
          <w:lang w:val="en"/>
        </w:rPr>
        <w:t>Cancer</w:t>
      </w:r>
      <w:r w:rsidRPr="006C21E4">
        <w:rPr>
          <w:rFonts w:ascii="Times New Roman" w:hAnsi="Times New Roman" w:cs="Times New Roman"/>
          <w:sz w:val="20"/>
          <w:szCs w:val="20"/>
          <w:lang w:val="en"/>
        </w:rPr>
        <w:t xml:space="preserve"> Epidemiology, Center for Epidemiology and Prevention in Oncology, CPO Piedmont, University Hospital "</w:t>
      </w:r>
      <w:proofErr w:type="spellStart"/>
      <w:r w:rsidRPr="006C21E4">
        <w:rPr>
          <w:rFonts w:ascii="Times New Roman" w:hAnsi="Times New Roman" w:cs="Times New Roman"/>
          <w:sz w:val="20"/>
          <w:szCs w:val="20"/>
          <w:lang w:val="en"/>
        </w:rPr>
        <w:t>Citta</w:t>
      </w:r>
      <w:proofErr w:type="spellEnd"/>
      <w:r w:rsidRPr="006C21E4">
        <w:rPr>
          <w:rFonts w:ascii="Times New Roman" w:hAnsi="Times New Roman" w:cs="Times New Roman"/>
          <w:sz w:val="20"/>
          <w:szCs w:val="20"/>
          <w:lang w:val="en"/>
        </w:rPr>
        <w:t xml:space="preserve"> </w:t>
      </w:r>
      <w:proofErr w:type="spellStart"/>
      <w:r w:rsidRPr="006C21E4">
        <w:rPr>
          <w:rFonts w:ascii="Times New Roman" w:hAnsi="Times New Roman" w:cs="Times New Roman"/>
          <w:sz w:val="20"/>
          <w:szCs w:val="20"/>
          <w:lang w:val="en"/>
        </w:rPr>
        <w:t>della</w:t>
      </w:r>
      <w:proofErr w:type="spellEnd"/>
      <w:r w:rsidRPr="006C21E4">
        <w:rPr>
          <w:rFonts w:ascii="Times New Roman" w:hAnsi="Times New Roman" w:cs="Times New Roman"/>
          <w:sz w:val="20"/>
          <w:szCs w:val="20"/>
          <w:lang w:val="en"/>
        </w:rPr>
        <w:t xml:space="preserve"> Salute e </w:t>
      </w:r>
      <w:proofErr w:type="spellStart"/>
      <w:r w:rsidRPr="006C21E4">
        <w:rPr>
          <w:rFonts w:ascii="Times New Roman" w:hAnsi="Times New Roman" w:cs="Times New Roman"/>
          <w:sz w:val="20"/>
          <w:szCs w:val="20"/>
          <w:lang w:val="en"/>
        </w:rPr>
        <w:t>della</w:t>
      </w:r>
      <w:proofErr w:type="spellEnd"/>
      <w:r w:rsidRPr="006C21E4">
        <w:rPr>
          <w:rFonts w:ascii="Times New Roman" w:hAnsi="Times New Roman" w:cs="Times New Roman"/>
          <w:sz w:val="20"/>
          <w:szCs w:val="20"/>
          <w:lang w:val="en"/>
        </w:rPr>
        <w:t xml:space="preserve"> </w:t>
      </w:r>
      <w:proofErr w:type="spellStart"/>
      <w:r w:rsidRPr="006C21E4">
        <w:rPr>
          <w:rFonts w:ascii="Times New Roman" w:hAnsi="Times New Roman" w:cs="Times New Roman"/>
          <w:sz w:val="20"/>
          <w:szCs w:val="20"/>
          <w:lang w:val="en"/>
        </w:rPr>
        <w:t>Scienza</w:t>
      </w:r>
      <w:proofErr w:type="spellEnd"/>
      <w:r w:rsidRPr="006C21E4">
        <w:rPr>
          <w:rFonts w:ascii="Times New Roman" w:hAnsi="Times New Roman" w:cs="Times New Roman"/>
          <w:sz w:val="20"/>
          <w:szCs w:val="20"/>
          <w:lang w:val="en"/>
        </w:rPr>
        <w:t>", Turin, Italy</w:t>
      </w:r>
    </w:p>
    <w:p w:rsidR="00E8618D" w:rsidRDefault="00E8618D" w:rsidP="00723741">
      <w:pPr>
        <w:rPr>
          <w:rFonts w:ascii="Times New Roman" w:eastAsia="Times New Roman" w:hAnsi="Times New Roman" w:cs="Times New Roman"/>
          <w:b/>
          <w:sz w:val="24"/>
        </w:rPr>
      </w:pPr>
    </w:p>
    <w:p w:rsidR="00E8618D" w:rsidRPr="007470F4" w:rsidRDefault="00E8618D" w:rsidP="00723741">
      <w:pPr>
        <w:jc w:val="both"/>
        <w:rPr>
          <w:rFonts w:ascii="Times New Roman" w:eastAsia="Times New Roman" w:hAnsi="Times New Roman" w:cs="Times New Roman"/>
          <w:sz w:val="24"/>
        </w:rPr>
      </w:pPr>
      <w:r w:rsidRPr="007470F4">
        <w:rPr>
          <w:rFonts w:ascii="Times New Roman" w:eastAsia="Times New Roman" w:hAnsi="Times New Roman" w:cs="Times New Roman"/>
          <w:b/>
          <w:sz w:val="24"/>
        </w:rPr>
        <w:t>Running title:</w:t>
      </w:r>
      <w:r w:rsidRPr="007470F4">
        <w:rPr>
          <w:rFonts w:ascii="Times New Roman" w:eastAsia="Times New Roman" w:hAnsi="Times New Roman" w:cs="Times New Roman"/>
          <w:sz w:val="24"/>
        </w:rPr>
        <w:t xml:space="preserve"> DALY averted and QALY gained</w:t>
      </w:r>
      <w:r>
        <w:rPr>
          <w:rFonts w:ascii="Times New Roman" w:eastAsia="Times New Roman" w:hAnsi="Times New Roman" w:cs="Times New Roman"/>
          <w:sz w:val="24"/>
        </w:rPr>
        <w:t xml:space="preserve">: model analysis </w:t>
      </w:r>
      <w:r w:rsidRPr="00E8618D">
        <w:rPr>
          <w:rFonts w:ascii="Times New Roman" w:eastAsia="Times New Roman" w:hAnsi="Times New Roman" w:cs="Times New Roman"/>
          <w:sz w:val="24"/>
        </w:rPr>
        <w:t>[see full title above]</w:t>
      </w:r>
    </w:p>
    <w:p w:rsidR="00E8618D" w:rsidRPr="007470F4" w:rsidRDefault="00E8618D" w:rsidP="00723741">
      <w:pPr>
        <w:spacing w:after="0"/>
        <w:rPr>
          <w:rFonts w:ascii="Times New Roman" w:eastAsia="Times New Roman" w:hAnsi="Times New Roman" w:cs="Times New Roman"/>
          <w:b/>
          <w:sz w:val="24"/>
        </w:rPr>
      </w:pPr>
      <w:r w:rsidRPr="007470F4">
        <w:rPr>
          <w:rFonts w:ascii="Times New Roman" w:eastAsia="Times New Roman" w:hAnsi="Times New Roman" w:cs="Times New Roman"/>
          <w:b/>
          <w:sz w:val="24"/>
        </w:rPr>
        <w:t>Correspondence to:</w:t>
      </w:r>
    </w:p>
    <w:p w:rsidR="00E8618D" w:rsidRPr="003514E1" w:rsidRDefault="00E8618D" w:rsidP="00723741">
      <w:pPr>
        <w:spacing w:after="0"/>
        <w:rPr>
          <w:rFonts w:ascii="Times New Roman" w:eastAsia="Times New Roman" w:hAnsi="Times New Roman" w:cs="Times New Roman"/>
          <w:sz w:val="24"/>
        </w:rPr>
      </w:pPr>
      <w:r w:rsidRPr="007470F4">
        <w:rPr>
          <w:rFonts w:ascii="Times New Roman" w:eastAsia="Times New Roman" w:hAnsi="Times New Roman" w:cs="Times New Roman"/>
          <w:sz w:val="24"/>
        </w:rPr>
        <w:t xml:space="preserve">M. </w:t>
      </w:r>
      <w:proofErr w:type="spellStart"/>
      <w:r w:rsidRPr="007470F4">
        <w:rPr>
          <w:rFonts w:ascii="Times New Roman" w:eastAsia="Times New Roman" w:hAnsi="Times New Roman" w:cs="Times New Roman"/>
          <w:sz w:val="24"/>
        </w:rPr>
        <w:t>Davidović</w:t>
      </w:r>
      <w:proofErr w:type="spellEnd"/>
      <w:r w:rsidRPr="007470F4">
        <w:rPr>
          <w:rFonts w:ascii="Times New Roman" w:eastAsia="Times New Roman" w:hAnsi="Times New Roman" w:cs="Times New Roman"/>
          <w:sz w:val="24"/>
        </w:rPr>
        <w:t>, MD MSc</w:t>
      </w:r>
      <w:r w:rsidRPr="007470F4">
        <w:rPr>
          <w:rFonts w:ascii="Times New Roman" w:eastAsia="Times New Roman" w:hAnsi="Times New Roman" w:cs="Times New Roman"/>
          <w:sz w:val="24"/>
        </w:rPr>
        <w:br/>
      </w:r>
      <w:r w:rsidR="00002A87">
        <w:rPr>
          <w:rFonts w:ascii="Times New Roman" w:eastAsia="Times New Roman" w:hAnsi="Times New Roman" w:cs="Times New Roman"/>
          <w:sz w:val="24"/>
        </w:rPr>
        <w:t>Graduate School for Health Sciences</w:t>
      </w:r>
    </w:p>
    <w:p w:rsidR="00E8618D" w:rsidRPr="000D1919" w:rsidRDefault="00E8618D" w:rsidP="00723741">
      <w:pPr>
        <w:spacing w:after="0"/>
        <w:rPr>
          <w:rFonts w:ascii="Times New Roman" w:eastAsia="Times New Roman" w:hAnsi="Times New Roman" w:cs="Times New Roman"/>
          <w:sz w:val="24"/>
          <w:lang w:val="de-CH"/>
        </w:rPr>
      </w:pPr>
      <w:r w:rsidRPr="000D1919">
        <w:rPr>
          <w:rFonts w:ascii="Times New Roman" w:eastAsia="Times New Roman" w:hAnsi="Times New Roman" w:cs="Times New Roman"/>
          <w:sz w:val="24"/>
          <w:lang w:val="de-CH"/>
        </w:rPr>
        <w:t>University of Bern</w:t>
      </w:r>
    </w:p>
    <w:p w:rsidR="00FE1EAD" w:rsidRPr="000D1919" w:rsidRDefault="00FE1EAD" w:rsidP="00723741">
      <w:pPr>
        <w:spacing w:after="0"/>
        <w:rPr>
          <w:rFonts w:ascii="Times New Roman" w:eastAsia="Times New Roman" w:hAnsi="Times New Roman" w:cs="Times New Roman"/>
          <w:sz w:val="24"/>
          <w:lang w:val="de-CH"/>
        </w:rPr>
      </w:pPr>
      <w:r w:rsidRPr="000D1919">
        <w:rPr>
          <w:rFonts w:ascii="Times New Roman" w:eastAsia="Times New Roman" w:hAnsi="Times New Roman" w:cs="Times New Roman"/>
          <w:sz w:val="24"/>
          <w:lang w:val="de-CH"/>
        </w:rPr>
        <w:t>Mittelstrasse 43</w:t>
      </w:r>
    </w:p>
    <w:p w:rsidR="00FE1EAD" w:rsidRPr="000D1919" w:rsidRDefault="00E8618D" w:rsidP="00723741">
      <w:pPr>
        <w:spacing w:after="0"/>
        <w:rPr>
          <w:rFonts w:ascii="Times New Roman" w:eastAsia="Times New Roman" w:hAnsi="Times New Roman" w:cs="Times New Roman"/>
          <w:sz w:val="24"/>
          <w:lang w:val="de-CH"/>
        </w:rPr>
      </w:pPr>
      <w:r w:rsidRPr="000D1919">
        <w:rPr>
          <w:rFonts w:ascii="Times New Roman" w:eastAsia="Times New Roman" w:hAnsi="Times New Roman" w:cs="Times New Roman"/>
          <w:sz w:val="24"/>
          <w:lang w:val="de-CH"/>
        </w:rPr>
        <w:t>3012 Bern</w:t>
      </w:r>
      <w:r w:rsidRPr="000D1919">
        <w:rPr>
          <w:rFonts w:ascii="Times New Roman" w:eastAsia="Times New Roman" w:hAnsi="Times New Roman" w:cs="Times New Roman"/>
          <w:sz w:val="24"/>
          <w:lang w:val="de-CH"/>
        </w:rPr>
        <w:br/>
        <w:t>Switzerland</w:t>
      </w:r>
    </w:p>
    <w:p w:rsidR="00CF6CC3" w:rsidRDefault="00FE1EAD" w:rsidP="00723741">
      <w:pPr>
        <w:spacing w:after="0"/>
        <w:rPr>
          <w:rFonts w:ascii="Times New Roman" w:eastAsia="Times New Roman" w:hAnsi="Times New Roman" w:cs="Times New Roman"/>
          <w:sz w:val="24"/>
        </w:rPr>
      </w:pPr>
      <w:r>
        <w:rPr>
          <w:rFonts w:ascii="Times New Roman" w:eastAsia="Times New Roman" w:hAnsi="Times New Roman" w:cs="Times New Roman"/>
          <w:sz w:val="24"/>
        </w:rPr>
        <w:t>Phone: +41 76 589 08 16</w:t>
      </w:r>
      <w:r w:rsidR="00E8618D" w:rsidRPr="007470F4">
        <w:rPr>
          <w:rFonts w:ascii="Times New Roman" w:eastAsia="Times New Roman" w:hAnsi="Times New Roman" w:cs="Times New Roman"/>
          <w:sz w:val="24"/>
        </w:rPr>
        <w:br/>
      </w:r>
    </w:p>
    <w:p w:rsidR="00E8618D" w:rsidRDefault="00CF1114" w:rsidP="00723741">
      <w:pPr>
        <w:rPr>
          <w:rFonts w:ascii="Times New Roman" w:eastAsia="Times New Roman" w:hAnsi="Times New Roman" w:cs="Times New Roman"/>
          <w:sz w:val="24"/>
        </w:rPr>
      </w:pPr>
      <w:r>
        <w:rPr>
          <w:rFonts w:ascii="Times New Roman" w:eastAsia="Times New Roman" w:hAnsi="Times New Roman" w:cs="Times New Roman"/>
          <w:sz w:val="24"/>
        </w:rPr>
        <w:t xml:space="preserve">Key words: </w:t>
      </w:r>
      <w:r w:rsidRPr="00CF1114">
        <w:rPr>
          <w:rFonts w:ascii="Times New Roman" w:eastAsia="Times New Roman" w:hAnsi="Times New Roman" w:cs="Times New Roman"/>
          <w:sz w:val="24"/>
        </w:rPr>
        <w:t>MISCAN, quality of life, QALY, DALY, QoL</w:t>
      </w:r>
    </w:p>
    <w:p w:rsidR="00CF1114" w:rsidRDefault="00E041A9" w:rsidP="00723741">
      <w:pPr>
        <w:rPr>
          <w:rFonts w:ascii="Times New Roman" w:eastAsia="Times New Roman" w:hAnsi="Times New Roman" w:cs="Times New Roman"/>
          <w:sz w:val="24"/>
        </w:rPr>
      </w:pPr>
      <w:r>
        <w:rPr>
          <w:rFonts w:ascii="Times New Roman" w:eastAsia="Times New Roman" w:hAnsi="Times New Roman" w:cs="Times New Roman"/>
          <w:sz w:val="24"/>
        </w:rPr>
        <w:t xml:space="preserve">Summary: </w:t>
      </w:r>
      <w:r w:rsidR="00B613F2" w:rsidRPr="00B613F2">
        <w:rPr>
          <w:rFonts w:ascii="Times New Roman" w:eastAsia="Times New Roman" w:hAnsi="Times New Roman" w:cs="Times New Roman"/>
          <w:sz w:val="24"/>
        </w:rPr>
        <w:t>We assessed whether the use of DALYs averted or QALYs gained will lead to different cost-effective screening strategies</w:t>
      </w:r>
      <w:r w:rsidR="00B613F2">
        <w:rPr>
          <w:rFonts w:ascii="Times New Roman" w:eastAsia="Times New Roman" w:hAnsi="Times New Roman" w:cs="Times New Roman"/>
          <w:sz w:val="24"/>
        </w:rPr>
        <w:t xml:space="preserve"> for breast cancer in the Netherlands</w:t>
      </w:r>
    </w:p>
    <w:p w:rsidR="00CF6CC3" w:rsidRDefault="00FE1EAD" w:rsidP="00723741">
      <w:pPr>
        <w:spacing w:after="0"/>
        <w:rPr>
          <w:rFonts w:ascii="Times New Roman" w:eastAsia="Times New Roman" w:hAnsi="Times New Roman" w:cs="Times New Roman"/>
          <w:sz w:val="24"/>
        </w:rPr>
      </w:pPr>
      <w:r>
        <w:rPr>
          <w:rFonts w:ascii="Times New Roman" w:eastAsia="Times New Roman" w:hAnsi="Times New Roman" w:cs="Times New Roman"/>
          <w:sz w:val="24"/>
        </w:rPr>
        <w:t>Text pages: 11</w:t>
      </w:r>
    </w:p>
    <w:p w:rsidR="00CF6CC3" w:rsidRDefault="00CF6CC3" w:rsidP="00723741">
      <w:pPr>
        <w:spacing w:after="0"/>
        <w:rPr>
          <w:rFonts w:ascii="Times New Roman" w:eastAsia="Times New Roman" w:hAnsi="Times New Roman" w:cs="Times New Roman"/>
          <w:sz w:val="24"/>
        </w:rPr>
      </w:pPr>
      <w:r>
        <w:rPr>
          <w:rFonts w:ascii="Times New Roman" w:eastAsia="Times New Roman" w:hAnsi="Times New Roman" w:cs="Times New Roman"/>
          <w:sz w:val="24"/>
        </w:rPr>
        <w:t>Tables: 3</w:t>
      </w:r>
    </w:p>
    <w:p w:rsidR="00CF6CC3" w:rsidRDefault="00CF6CC3" w:rsidP="00723741">
      <w:pPr>
        <w:spacing w:after="0"/>
        <w:rPr>
          <w:rFonts w:ascii="Times New Roman" w:eastAsia="Times New Roman" w:hAnsi="Times New Roman" w:cs="Times New Roman"/>
          <w:sz w:val="24"/>
        </w:rPr>
      </w:pPr>
      <w:r>
        <w:rPr>
          <w:rFonts w:ascii="Times New Roman" w:eastAsia="Times New Roman" w:hAnsi="Times New Roman" w:cs="Times New Roman"/>
          <w:sz w:val="24"/>
        </w:rPr>
        <w:t>Figures: 2</w:t>
      </w:r>
    </w:p>
    <w:p w:rsidR="00CF6CC3" w:rsidRDefault="00CF6CC3" w:rsidP="00723741">
      <w:pPr>
        <w:spacing w:after="0"/>
        <w:rPr>
          <w:rFonts w:ascii="Times New Roman" w:eastAsia="Times New Roman" w:hAnsi="Times New Roman" w:cs="Times New Roman"/>
          <w:sz w:val="24"/>
        </w:rPr>
      </w:pPr>
      <w:r>
        <w:rPr>
          <w:rFonts w:ascii="Times New Roman" w:eastAsia="Times New Roman" w:hAnsi="Times New Roman" w:cs="Times New Roman"/>
          <w:sz w:val="24"/>
        </w:rPr>
        <w:t>Word count:</w:t>
      </w:r>
      <w:r w:rsidR="00481307">
        <w:rPr>
          <w:rFonts w:ascii="Times New Roman" w:eastAsia="Times New Roman" w:hAnsi="Times New Roman" w:cs="Times New Roman"/>
          <w:sz w:val="24"/>
        </w:rPr>
        <w:t xml:space="preserve"> </w:t>
      </w:r>
      <w:r w:rsidR="006A7764">
        <w:rPr>
          <w:rFonts w:ascii="Times New Roman" w:eastAsia="Times New Roman" w:hAnsi="Times New Roman" w:cs="Times New Roman"/>
          <w:sz w:val="24"/>
        </w:rPr>
        <w:t>3,11</w:t>
      </w:r>
      <w:r w:rsidR="00FE1EAD">
        <w:rPr>
          <w:rFonts w:ascii="Times New Roman" w:eastAsia="Times New Roman" w:hAnsi="Times New Roman" w:cs="Times New Roman"/>
          <w:sz w:val="24"/>
        </w:rPr>
        <w:t>5</w:t>
      </w:r>
    </w:p>
    <w:p w:rsidR="00FE1EAD" w:rsidRPr="007470F4" w:rsidRDefault="00FE1EAD" w:rsidP="00723741">
      <w:pPr>
        <w:spacing w:after="0"/>
        <w:rPr>
          <w:rFonts w:ascii="Times New Roman" w:eastAsia="Times New Roman" w:hAnsi="Times New Roman" w:cs="Times New Roman"/>
          <w:sz w:val="24"/>
        </w:rPr>
      </w:pPr>
    </w:p>
    <w:p w:rsidR="00512F59" w:rsidRDefault="00512F59" w:rsidP="00723741">
      <w:pPr>
        <w:pBdr>
          <w:top w:val="none" w:sz="0" w:space="0" w:color="auto"/>
          <w:left w:val="none" w:sz="0" w:space="0" w:color="auto"/>
          <w:bottom w:val="none" w:sz="0" w:space="0" w:color="auto"/>
          <w:right w:val="none" w:sz="0" w:space="0" w:color="auto"/>
          <w:between w:val="none" w:sz="0" w:space="0" w:color="auto"/>
        </w:pBdr>
        <w:spacing w:after="160"/>
        <w:rPr>
          <w:rFonts w:ascii="Times New Roman" w:hAnsi="Times New Roman" w:cs="Times New Roman"/>
          <w:b/>
          <w:sz w:val="24"/>
          <w:shd w:val="clear" w:color="auto" w:fill="FFFFFF"/>
        </w:rPr>
      </w:pPr>
      <w:r>
        <w:rPr>
          <w:rFonts w:ascii="Times New Roman" w:hAnsi="Times New Roman" w:cs="Times New Roman"/>
          <w:b/>
          <w:sz w:val="24"/>
          <w:shd w:val="clear" w:color="auto" w:fill="FFFFFF"/>
        </w:rPr>
        <w:br w:type="page"/>
      </w:r>
    </w:p>
    <w:p w:rsidR="00723741" w:rsidRPr="00723741" w:rsidRDefault="00723741" w:rsidP="00723741">
      <w:pPr>
        <w:pStyle w:val="Heading1-Manuscript"/>
        <w:spacing w:line="276" w:lineRule="auto"/>
        <w:rPr>
          <w:color w:val="auto"/>
        </w:rPr>
      </w:pPr>
      <w:r w:rsidRPr="00723741">
        <w:rPr>
          <w:color w:val="auto"/>
        </w:rPr>
        <w:lastRenderedPageBreak/>
        <w:t>ABSTRACT</w:t>
      </w:r>
    </w:p>
    <w:p w:rsidR="00723741" w:rsidRPr="007470F4" w:rsidRDefault="00723741" w:rsidP="00723741">
      <w:pPr>
        <w:jc w:val="both"/>
        <w:rPr>
          <w:rFonts w:ascii="Times New Roman" w:hAnsi="Times New Roman" w:cs="Times New Roman"/>
          <w:sz w:val="24"/>
        </w:rPr>
      </w:pPr>
      <w:r>
        <w:rPr>
          <w:rFonts w:ascii="Times New Roman" w:hAnsi="Times New Roman" w:cs="Times New Roman"/>
          <w:sz w:val="24"/>
        </w:rPr>
        <w:t xml:space="preserve">Objectives: </w:t>
      </w:r>
      <w:r w:rsidRPr="007470F4">
        <w:rPr>
          <w:rFonts w:ascii="Times New Roman" w:hAnsi="Times New Roman" w:cs="Times New Roman"/>
          <w:sz w:val="24"/>
        </w:rPr>
        <w:t xml:space="preserve">To quantify the impact of </w:t>
      </w:r>
      <w:r>
        <w:rPr>
          <w:rFonts w:ascii="Times New Roman" w:hAnsi="Times New Roman" w:cs="Times New Roman"/>
          <w:sz w:val="24"/>
        </w:rPr>
        <w:t>mammography-based</w:t>
      </w:r>
      <w:r w:rsidRPr="007470F4">
        <w:rPr>
          <w:rFonts w:ascii="Times New Roman" w:hAnsi="Times New Roman" w:cs="Times New Roman"/>
          <w:sz w:val="24"/>
        </w:rPr>
        <w:t xml:space="preserve"> s</w:t>
      </w:r>
      <w:r>
        <w:rPr>
          <w:rFonts w:ascii="Times New Roman" w:hAnsi="Times New Roman" w:cs="Times New Roman"/>
          <w:sz w:val="24"/>
        </w:rPr>
        <w:t>creening on the quality of life</w:t>
      </w:r>
      <w:r w:rsidRPr="007470F4">
        <w:rPr>
          <w:rFonts w:ascii="Times New Roman" w:hAnsi="Times New Roman" w:cs="Times New Roman"/>
          <w:sz w:val="24"/>
        </w:rPr>
        <w:t>, disability-adjusted life years</w:t>
      </w:r>
      <w:r>
        <w:rPr>
          <w:rFonts w:ascii="Times New Roman" w:hAnsi="Times New Roman" w:cs="Times New Roman"/>
          <w:sz w:val="24"/>
        </w:rPr>
        <w:t xml:space="preserve"> </w:t>
      </w:r>
      <w:r w:rsidRPr="007470F4">
        <w:rPr>
          <w:rFonts w:ascii="Times New Roman" w:hAnsi="Times New Roman" w:cs="Times New Roman"/>
          <w:sz w:val="24"/>
        </w:rPr>
        <w:t>(DALYs) averted or quality-adjusted life years</w:t>
      </w:r>
      <w:r>
        <w:rPr>
          <w:rFonts w:ascii="Times New Roman" w:hAnsi="Times New Roman" w:cs="Times New Roman"/>
          <w:sz w:val="24"/>
        </w:rPr>
        <w:t xml:space="preserve"> </w:t>
      </w:r>
      <w:r w:rsidRPr="007470F4">
        <w:rPr>
          <w:rFonts w:ascii="Times New Roman" w:hAnsi="Times New Roman" w:cs="Times New Roman"/>
          <w:sz w:val="24"/>
        </w:rPr>
        <w:t xml:space="preserve">(QALYs) gained can be used. We </w:t>
      </w:r>
      <w:r>
        <w:rPr>
          <w:rFonts w:ascii="Times New Roman" w:hAnsi="Times New Roman" w:cs="Times New Roman"/>
          <w:sz w:val="24"/>
        </w:rPr>
        <w:t xml:space="preserve">aimed to </w:t>
      </w:r>
      <w:r w:rsidRPr="007470F4">
        <w:rPr>
          <w:rFonts w:ascii="Times New Roman" w:hAnsi="Times New Roman" w:cs="Times New Roman"/>
          <w:sz w:val="24"/>
        </w:rPr>
        <w:t>assess whether the use of DALYs averted or QALYs gained will lead to different cost-effective screening strategies.</w:t>
      </w:r>
    </w:p>
    <w:p w:rsidR="00723741" w:rsidRDefault="00723741" w:rsidP="00723741">
      <w:pPr>
        <w:jc w:val="both"/>
        <w:rPr>
          <w:rFonts w:ascii="Times New Roman" w:hAnsi="Times New Roman" w:cs="Times New Roman"/>
          <w:sz w:val="24"/>
        </w:rPr>
      </w:pPr>
      <w:r>
        <w:rPr>
          <w:rFonts w:ascii="Times New Roman" w:hAnsi="Times New Roman" w:cs="Times New Roman"/>
          <w:sz w:val="24"/>
        </w:rPr>
        <w:t xml:space="preserve">Methods: </w:t>
      </w:r>
      <w:r w:rsidRPr="007470F4">
        <w:rPr>
          <w:rFonts w:ascii="Times New Roman" w:hAnsi="Times New Roman" w:cs="Times New Roman"/>
          <w:sz w:val="24"/>
        </w:rPr>
        <w:t>Using t</w:t>
      </w:r>
      <w:r>
        <w:rPr>
          <w:rFonts w:ascii="Times New Roman" w:hAnsi="Times New Roman" w:cs="Times New Roman"/>
          <w:sz w:val="24"/>
        </w:rPr>
        <w:t>he microsimulation model MISCAN, w</w:t>
      </w:r>
      <w:r w:rsidRPr="007470F4">
        <w:rPr>
          <w:rFonts w:ascii="Times New Roman" w:hAnsi="Times New Roman" w:cs="Times New Roman"/>
          <w:sz w:val="24"/>
          <w:szCs w:val="24"/>
        </w:rPr>
        <w:t>e simulated different breast cancer screening strategies varying in starting age (starting at 45, 47, and 50 years), stopping age (stopping at 69, 72, and 74 years), and frequency (annual</w:t>
      </w:r>
      <w:r>
        <w:rPr>
          <w:rFonts w:ascii="Times New Roman" w:hAnsi="Times New Roman" w:cs="Times New Roman"/>
          <w:sz w:val="24"/>
          <w:szCs w:val="24"/>
        </w:rPr>
        <w:t xml:space="preserve"> (A)</w:t>
      </w:r>
      <w:r w:rsidRPr="007470F4">
        <w:rPr>
          <w:rFonts w:ascii="Times New Roman" w:hAnsi="Times New Roman" w:cs="Times New Roman"/>
          <w:sz w:val="24"/>
          <w:szCs w:val="24"/>
        </w:rPr>
        <w:t xml:space="preserve">, </w:t>
      </w:r>
      <w:r>
        <w:rPr>
          <w:rFonts w:ascii="Times New Roman" w:hAnsi="Times New Roman" w:cs="Times New Roman"/>
          <w:sz w:val="24"/>
          <w:szCs w:val="24"/>
        </w:rPr>
        <w:t>biennial (B)</w:t>
      </w:r>
      <w:r w:rsidRPr="007470F4">
        <w:rPr>
          <w:rFonts w:ascii="Times New Roman" w:hAnsi="Times New Roman" w:cs="Times New Roman"/>
          <w:sz w:val="24"/>
          <w:szCs w:val="24"/>
        </w:rPr>
        <w:t>,</w:t>
      </w:r>
      <w:r>
        <w:rPr>
          <w:rFonts w:ascii="Times New Roman" w:hAnsi="Times New Roman" w:cs="Times New Roman"/>
          <w:sz w:val="24"/>
          <w:szCs w:val="24"/>
        </w:rPr>
        <w:t xml:space="preserve"> </w:t>
      </w:r>
      <w:r w:rsidRPr="007470F4">
        <w:rPr>
          <w:rFonts w:ascii="Times New Roman" w:hAnsi="Times New Roman" w:cs="Times New Roman"/>
          <w:sz w:val="24"/>
          <w:szCs w:val="24"/>
        </w:rPr>
        <w:t>combination of both</w:t>
      </w:r>
      <w:r>
        <w:rPr>
          <w:rFonts w:ascii="Times New Roman" w:hAnsi="Times New Roman" w:cs="Times New Roman"/>
          <w:sz w:val="24"/>
          <w:szCs w:val="24"/>
        </w:rPr>
        <w:t xml:space="preserve"> (A+B) and triennial (T)</w:t>
      </w:r>
      <w:r w:rsidRPr="007470F4">
        <w:rPr>
          <w:rFonts w:ascii="Times New Roman" w:hAnsi="Times New Roman" w:cs="Times New Roman"/>
          <w:sz w:val="24"/>
          <w:szCs w:val="24"/>
        </w:rPr>
        <w:t xml:space="preserve">). In total, we defined </w:t>
      </w:r>
      <w:r>
        <w:rPr>
          <w:rFonts w:ascii="Times New Roman" w:hAnsi="Times New Roman" w:cs="Times New Roman"/>
          <w:sz w:val="24"/>
          <w:szCs w:val="24"/>
        </w:rPr>
        <w:t>24</w:t>
      </w:r>
      <w:r w:rsidRPr="007470F4">
        <w:rPr>
          <w:rFonts w:ascii="Times New Roman" w:hAnsi="Times New Roman" w:cs="Times New Roman"/>
          <w:sz w:val="24"/>
          <w:szCs w:val="24"/>
        </w:rPr>
        <w:t xml:space="preserve"> different breast cancer sc</w:t>
      </w:r>
      <w:r>
        <w:rPr>
          <w:rFonts w:ascii="Times New Roman" w:hAnsi="Times New Roman" w:cs="Times New Roman"/>
          <w:sz w:val="24"/>
          <w:szCs w:val="24"/>
        </w:rPr>
        <w:t xml:space="preserve">reening strategies including no </w:t>
      </w:r>
      <w:r w:rsidRPr="007470F4">
        <w:rPr>
          <w:rFonts w:ascii="Times New Roman" w:hAnsi="Times New Roman" w:cs="Times New Roman"/>
          <w:sz w:val="24"/>
          <w:szCs w:val="24"/>
        </w:rPr>
        <w:t>screen</w:t>
      </w:r>
      <w:r>
        <w:rPr>
          <w:rFonts w:ascii="Times New Roman" w:hAnsi="Times New Roman" w:cs="Times New Roman"/>
          <w:sz w:val="24"/>
          <w:szCs w:val="24"/>
        </w:rPr>
        <w:t>ing</w:t>
      </w:r>
      <w:r w:rsidRPr="007470F4">
        <w:rPr>
          <w:rFonts w:ascii="Times New Roman" w:hAnsi="Times New Roman" w:cs="Times New Roman"/>
          <w:sz w:val="24"/>
          <w:szCs w:val="24"/>
        </w:rPr>
        <w:t xml:space="preserve"> as a reference strategy.</w:t>
      </w:r>
      <w:r>
        <w:rPr>
          <w:rFonts w:ascii="Times New Roman" w:hAnsi="Times New Roman" w:cs="Times New Roman"/>
          <w:sz w:val="24"/>
        </w:rPr>
        <w:t xml:space="preserve"> We calculated incremental cost-effectiveness ratios (ICERs) and compared which strategies were on the efficiency frontiers for DALYs and QALYs.</w:t>
      </w:r>
    </w:p>
    <w:p w:rsidR="00723741" w:rsidRPr="00324B92" w:rsidRDefault="00723741" w:rsidP="00723741">
      <w:pPr>
        <w:jc w:val="both"/>
        <w:rPr>
          <w:rFonts w:ascii="Times New Roman" w:hAnsi="Times New Roman" w:cs="Times New Roman"/>
          <w:sz w:val="24"/>
          <w:lang w:val="en-GB"/>
        </w:rPr>
      </w:pPr>
      <w:r>
        <w:rPr>
          <w:rFonts w:ascii="Times New Roman" w:hAnsi="Times New Roman" w:cs="Times New Roman"/>
          <w:sz w:val="24"/>
        </w:rPr>
        <w:t>Results: Breast cancer s</w:t>
      </w:r>
      <w:r w:rsidRPr="007470F4">
        <w:rPr>
          <w:rFonts w:ascii="Times New Roman" w:hAnsi="Times New Roman" w:cs="Times New Roman"/>
          <w:sz w:val="24"/>
        </w:rPr>
        <w:t xml:space="preserve">creening averted between </w:t>
      </w:r>
      <w:r>
        <w:rPr>
          <w:rFonts w:ascii="Times New Roman" w:hAnsi="Times New Roman" w:cs="Times New Roman"/>
          <w:sz w:val="24"/>
        </w:rPr>
        <w:t>46.00</w:t>
      </w:r>
      <w:r w:rsidRPr="007470F4">
        <w:rPr>
          <w:rFonts w:ascii="Times New Roman" w:hAnsi="Times New Roman" w:cs="Times New Roman"/>
          <w:sz w:val="24"/>
        </w:rPr>
        <w:t xml:space="preserve"> and </w:t>
      </w:r>
      <w:r>
        <w:rPr>
          <w:rFonts w:ascii="Times New Roman" w:hAnsi="Times New Roman" w:cs="Times New Roman"/>
          <w:sz w:val="24"/>
        </w:rPr>
        <w:t>105.58</w:t>
      </w:r>
      <w:r w:rsidRPr="007470F4">
        <w:rPr>
          <w:rFonts w:ascii="Times New Roman" w:hAnsi="Times New Roman" w:cs="Times New Roman"/>
          <w:sz w:val="24"/>
        </w:rPr>
        <w:t xml:space="preserve"> DALYs and gained between </w:t>
      </w:r>
      <w:r>
        <w:rPr>
          <w:rFonts w:ascii="Times New Roman" w:hAnsi="Times New Roman" w:cs="Times New Roman"/>
          <w:sz w:val="24"/>
        </w:rPr>
        <w:t>28.69</w:t>
      </w:r>
      <w:r w:rsidRPr="007470F4">
        <w:rPr>
          <w:rFonts w:ascii="Times New Roman" w:hAnsi="Times New Roman" w:cs="Times New Roman"/>
          <w:sz w:val="24"/>
        </w:rPr>
        <w:t xml:space="preserve"> and </w:t>
      </w:r>
      <w:r>
        <w:rPr>
          <w:rFonts w:ascii="Times New Roman" w:hAnsi="Times New Roman" w:cs="Times New Roman"/>
          <w:sz w:val="24"/>
        </w:rPr>
        <w:t>64.50</w:t>
      </w:r>
      <w:r w:rsidRPr="007470F4">
        <w:rPr>
          <w:rFonts w:ascii="Times New Roman" w:hAnsi="Times New Roman" w:cs="Times New Roman"/>
          <w:sz w:val="24"/>
        </w:rPr>
        <w:t xml:space="preserve"> QALYs</w:t>
      </w:r>
      <w:r>
        <w:rPr>
          <w:rFonts w:ascii="Times New Roman" w:hAnsi="Times New Roman" w:cs="Times New Roman"/>
          <w:sz w:val="24"/>
        </w:rPr>
        <w:t xml:space="preserve"> per 1000 women</w:t>
      </w:r>
      <w:r w:rsidRPr="007470F4">
        <w:rPr>
          <w:rFonts w:ascii="Times New Roman" w:hAnsi="Times New Roman" w:cs="Times New Roman"/>
          <w:sz w:val="24"/>
        </w:rPr>
        <w:t>.</w:t>
      </w:r>
      <w:r>
        <w:rPr>
          <w:rFonts w:ascii="Times New Roman" w:hAnsi="Times New Roman" w:cs="Times New Roman"/>
          <w:sz w:val="24"/>
        </w:rPr>
        <w:t xml:space="preserve"> For DALYs there were five strategies on the efficiency frontier (T50-69, T50-74, T45-74, B45-74 and A45-74). The same strategies plus one (B45-72) were on the efficiency frontier for QALYs.</w:t>
      </w:r>
    </w:p>
    <w:p w:rsidR="00723741" w:rsidRDefault="00723741" w:rsidP="00723741">
      <w:pPr>
        <w:jc w:val="both"/>
        <w:rPr>
          <w:rFonts w:ascii="Times New Roman" w:hAnsi="Times New Roman" w:cs="Times New Roman"/>
          <w:sz w:val="24"/>
        </w:rPr>
      </w:pPr>
      <w:r>
        <w:rPr>
          <w:rFonts w:ascii="Times New Roman" w:hAnsi="Times New Roman" w:cs="Times New Roman"/>
          <w:sz w:val="24"/>
        </w:rPr>
        <w:t xml:space="preserve">Conclusion: </w:t>
      </w:r>
      <w:r w:rsidRPr="007470F4">
        <w:rPr>
          <w:rFonts w:ascii="Times New Roman" w:hAnsi="Times New Roman" w:cs="Times New Roman"/>
          <w:sz w:val="24"/>
        </w:rPr>
        <w:t xml:space="preserve">Using DALYs averted instead of QALYs gained to assess the effects on </w:t>
      </w:r>
      <w:r>
        <w:rPr>
          <w:rFonts w:ascii="Times New Roman" w:hAnsi="Times New Roman" w:cs="Times New Roman"/>
          <w:sz w:val="24"/>
        </w:rPr>
        <w:t>quality of life</w:t>
      </w:r>
      <w:r w:rsidRPr="007470F4">
        <w:rPr>
          <w:rFonts w:ascii="Times New Roman" w:hAnsi="Times New Roman" w:cs="Times New Roman"/>
          <w:sz w:val="24"/>
        </w:rPr>
        <w:t xml:space="preserve"> from breast cancer screening</w:t>
      </w:r>
      <w:r>
        <w:rPr>
          <w:rFonts w:ascii="Times New Roman" w:hAnsi="Times New Roman" w:cs="Times New Roman"/>
          <w:sz w:val="24"/>
        </w:rPr>
        <w:t xml:space="preserve"> in the Dutch population</w:t>
      </w:r>
      <w:r w:rsidRPr="007470F4">
        <w:rPr>
          <w:rFonts w:ascii="Times New Roman" w:hAnsi="Times New Roman" w:cs="Times New Roman"/>
          <w:sz w:val="24"/>
        </w:rPr>
        <w:t xml:space="preserve"> yields differences in </w:t>
      </w:r>
      <w:r>
        <w:rPr>
          <w:rFonts w:ascii="Times New Roman" w:hAnsi="Times New Roman" w:cs="Times New Roman"/>
          <w:sz w:val="24"/>
        </w:rPr>
        <w:t xml:space="preserve">ICERs, but almost the same strategies were on the efficiency frontiers. Whether the choice in outcome measure leads to a difference in optimal policy depends on the cost-effectiveness threshold. </w:t>
      </w:r>
    </w:p>
    <w:p w:rsidR="00723741" w:rsidRPr="0025550E" w:rsidRDefault="00723741" w:rsidP="00723741">
      <w:pPr>
        <w:pBdr>
          <w:top w:val="none" w:sz="0" w:space="0" w:color="auto"/>
          <w:left w:val="none" w:sz="0" w:space="0" w:color="auto"/>
          <w:bottom w:val="none" w:sz="0" w:space="0" w:color="auto"/>
          <w:right w:val="none" w:sz="0" w:space="0" w:color="auto"/>
          <w:between w:val="none" w:sz="0" w:space="0" w:color="auto"/>
        </w:pBdr>
        <w:spacing w:after="160"/>
      </w:pPr>
      <w:r>
        <w:rPr>
          <w:rFonts w:ascii="Times New Roman" w:hAnsi="Times New Roman" w:cs="Times New Roman"/>
          <w:sz w:val="24"/>
        </w:rPr>
        <w:br w:type="page"/>
      </w:r>
      <w:r w:rsidRPr="0025550E">
        <w:lastRenderedPageBreak/>
        <w:t xml:space="preserve"> </w:t>
      </w:r>
    </w:p>
    <w:p w:rsidR="00723741" w:rsidRDefault="00723741" w:rsidP="00723741">
      <w:pPr>
        <w:pStyle w:val="Heading1-Manuscript"/>
        <w:spacing w:line="276" w:lineRule="auto"/>
      </w:pPr>
      <w:r w:rsidRPr="0025550E">
        <w:t>INTRODUCTION</w:t>
      </w:r>
    </w:p>
    <w:p w:rsidR="00723741"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Mammography screening is</w:t>
      </w:r>
      <w:r>
        <w:rPr>
          <w:rFonts w:ascii="Times New Roman" w:hAnsi="Times New Roman" w:cs="Times New Roman"/>
          <w:sz w:val="24"/>
        </w:rPr>
        <w:t xml:space="preserve"> strongly recommended for all asymptomatic women aged 50 to 69 years with an average risk for breast cancer and it</w:t>
      </w:r>
      <w:r w:rsidRPr="006F0394">
        <w:rPr>
          <w:rFonts w:ascii="Times New Roman" w:hAnsi="Times New Roman" w:cs="Times New Roman"/>
          <w:sz w:val="24"/>
        </w:rPr>
        <w:t xml:space="preserve"> leads to early detection and early treatment of breast cancer</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{"citationItems":[{"id":"ITEM-1","itemData":{"DOI":"10.1002/ijc.29572","ISSN":"1097-0215 (Electronic)","PMID":"25895135","abstract":"In the Netherlands, routine mammography screening starts at age 50. This starting age may have to be reconsidered because of the increasing breast cancer incidence among women aged 40 to 49 and the recent implementation of digital mammography. We assessed the cost-effectiveness of digital mammography screening that starts between age 40 and 49, using a microsimulation model. Women were screened before age 50, in addition to the current programme (biennial 50-74). Screening strategies varied in starting age (between 40 and 50) and frequency (annual or biennial). The numbers of breast cancers diagnosed, life-years gained (LYG) and breast cancer deaths averted were predicted and incremental cost-effectiveness ratios (ICERs) were calculated to compare screening scenarios. Biennial screening from age 50 to 74 (current strategy) was estimated to gain 157 life years per 1,000 women with lifelong follow-up, compared to a situation without screening, and cost euro3,376/LYG (3.5% discounted). Additional screening increased the number of LYG, compared to no screening, ranging from 168 to 242. The costs to generate one additional LYG (i.e., ICER), comparing a screening strategy to the less intensive alternative, were estimated at euro5,329 (biennial 48-74 vs. current strategy), euro7,628 (biennial 45-74 vs. biennial 48-74), euro10,826 (biennial 40-74 vs. biennial 45-74) and euro18,759 (annual 40-49 + biennial 50-74 vs. biennial 40-74). Other strategies (49 + biennial 50-74 and annual 45-49 + biennial 50-74) resulted in less favourable ICERs. These findings show that extending the Dutch screening programme by screening between age 40 and 49 is cost-effective, particularly for biennial strategies.","author":[{"dropping-particle":"V","family":"Sankatsing","given":"Valerie D","non-dropping-particle":"","parse-names":false,"suffix":""},{"dropping-particle":"","family":"Heijnsdijk","given":"Eveline A M","non-dropping-particle":"","parse-names":false,"suffix":""},{"dropping-particle":"","family":"Luijt","given":"Paula A","non-dropping-particle":"van","parse-names":false,"suffix":""},{"dropping-particle":"","family":"Ravesteyn","given":"Nicolien T","non-dropping-particle":"van","parse-names":false,"suffix":""},{"dropping-particle":"","family":"Fracheboud","given":"Jacques","non-dropping-particle":"","parse-names":false,"suffix":""},{"dropping-particle":"","family":"Koning","given":"Harry J","non-dropping-particle":"de","parse-names":false,"suffix":""}],"container-title":"International journal of cancer","id":"ITEM-1","issue":"8","issued":{"date-parts":[["2015","10"]]},"language":"eng","page":"1990-1999","publisher-place":"United States","title":"Cost-effectiveness of digital mammography screening before the age of 50 in The Netherlands.","type":"article-journal","volume":"137"},"uris":["http://www.mendeley.com/documents/?uuid=163caed3-d6fe-47ae-a9d2-45c6dc35c5b2"]},{"id":"ITEM-2","itemData":{"DOI":"10.7326/M19-2125","ISSN":"1539-3704 (Electronic)","PMID":"31766052","abstract":"Description: The European Commission Initiative for Breast Cancer Screening and Diagnosis guidelines (European Breast Guidelines) are coordinated by the European Commission's Joint Research Centre. The target audience for the guidelines includes women, health professionals, and policymakers. Methods: An international guideline panel of 28 multidisciplinary members, including patients, developed questions and corresponding recommendations that were informed by systematic reviews of the evidence conducted between March 2016 and December 2018. GRADE (Grading of Recommendations Assessment, Development and Evaluation) Evidence to Decision frameworks were used to structure the process and minimize the influence of competing interests by enhancing transparency. Questions and recommendations, expressed as strong or condi-tional, focused on outcomes that matter to women and provided a rating of the certainty of evidence. Recommendations: This synopsis of the European Breast Guidelines provides recommendations regarding organized screening programs for women aged 40 to 75 years who are at average risk. The recommendations address digital mammography screening and the addition of hand-held ultrasonography, automated breast ultrasonography, or magnetic resonance imaging compared with mammography alone. The recommendations also discuss the frequency of screening and inform decision making for women at average risk who are recalled for suspicious lesions or who have high breast density.","author":[{"dropping-particle":"","family":"Schunemann","given":"Holger J","non-dropping-particle":"","parse-names":false,"suffix":""},{"dropping-particle":"","family":"Lerda","given":"Donata","non-dropping-particle":"","parse-names":false,"suffix":""},{"dropping-particle":"","family":"Quinn","given":"Cecily","non-dropping-particle":"","parse-names":false,"suffix":""},{"dropping-particle":"","family":"Follmann","given":"Markus","non-dropping-particle":"","parse-names":false,"suffix":""},{"dropping-particle":"","family":"Alonso-Coello","given":"Pablo","non-dropping-particle":"","parse-names":false,"suffix":""},{"dropping-particle":"","family":"Rossi","given":"Paolo Giorgi","non-dropping-particle":"","parse-names":false,"suffix":""},{"dropping-particle":"","family":"Lebeau","given":"Annette","non-dropping-particle":"","parse-names":false,"suffix":""},{"dropping-particle":"","family":"Nystrom","given":"Lennarth","non-dropping-particle":"","parse-names":false,"suffix":""},{"dropping-particle":"","family":"Broeders","given":"Mireille","non-dropping-particle":"","parse-names":false,"suffix":""},{"dropping-particle":"","family":"Ioannidou-Mouzaka","given":"Lydia","non-dropping-particle":"","parse-names":false,"suffix":""},{"dropping-particle":"","family":"Duffy","given":"Stephen W","non-dropping-particle":"","parse-names":false,"suffix":""},{"dropping-particle":"","family":"Borisch","given":"Bettina","non-dropping-particle":"","parse-names":false,"suffix":""},{"dropping-particle":"","family":"Fitzpatrick","given":"Patricia","non-dropping-particle":"","parse-names":false,"suffix":""},{"dropping-particle":"","family":"Hofvind","given":"Solveig","non-dropping-particle":"","parse-names":false,"suffix":""},{"dropping-particle":"","family":"Castells","given":"Xavier","non-dropping-particle":"","parse-names":false,"suffix":""},{"dropping-particle":"","family":"Giordano","given":"Livia","non-dropping-particle":"","parse-names":false,"suffix":""},{"dropping-particle":"","family":"Canelo-Aybar","given":"Carlos","non-dropping-particle":"","parse-names":false,"suffix":""},{"dropping-particle":"","family":"Warman","given":"Sue","non-dropping-particle":"","parse-names":false,"suffix":""},{"dropping-particle":"","family":"Mansel","given":"Robert","non-dropping-particle":"","parse-names":false,"suffix":""},{"dropping-particle":"","family":"Sardanelli","given":"Francesco","non-dropping-particle":"","parse-names":false,"suffix":""},{"dropping-particle":"","family":"Parmelli","given":"Elena","non-dropping-particle":"","parse-names":false,"suffix":""},{"dropping-particle":"","family":"Grawingholt","given":"Axel","non-dropping-particle":"","parse-names":false,"suffix":""},{"dropping-particle":"","family":"Saz-Parkinson","given":"Zuleika","non-dropping-particle":"","parse-names":false,"suffix":""}],"container-title":"Annals of internal medicine","id":"ITEM-2","issued":{"date-parts":[["2019","11"]]},"language":"eng","publisher-place":"United States","title":"Breast Cancer Screening and Diagnosis: A Synopsis of the European Breast Guidelines.","type":"article-journal"},"uris":["http://www.mendeley.com/documents/?uuid=1a779cac-bacd-437f-a53f-2244fbc2742d"]}],"mendeley":{"formattedCitation":"&lt;sup&gt;1,2&lt;/sup&gt;","plainTextFormattedCitation":"1,2","previouslyFormattedCitation":"&lt;sup&gt;1,2&lt;/sup&gt;"},"properties":{"noteIndex":0},"schema":"https://github.com/citation-style-language/schema/raw/master/csl-citation.json"}</w:instrText>
      </w:r>
      <w:r>
        <w:rPr>
          <w:rFonts w:ascii="Times New Roman" w:hAnsi="Times New Roman" w:cs="Times New Roman"/>
          <w:sz w:val="24"/>
        </w:rPr>
        <w:fldChar w:fldCharType="separate"/>
      </w:r>
      <w:r w:rsidRPr="00EB53BE">
        <w:rPr>
          <w:rFonts w:ascii="Times New Roman" w:hAnsi="Times New Roman" w:cs="Times New Roman"/>
          <w:noProof/>
          <w:sz w:val="24"/>
          <w:vertAlign w:val="superscript"/>
          <w:lang w:val="en-GB"/>
        </w:rPr>
        <w:t>1,2</w:t>
      </w:r>
      <w:r>
        <w:rPr>
          <w:rFonts w:ascii="Times New Roman" w:hAnsi="Times New Roman" w:cs="Times New Roman"/>
          <w:sz w:val="24"/>
        </w:rPr>
        <w:fldChar w:fldCharType="end"/>
      </w:r>
      <w:r w:rsidRPr="00727566">
        <w:rPr>
          <w:rFonts w:ascii="Times New Roman" w:hAnsi="Times New Roman" w:cs="Times New Roman"/>
          <w:sz w:val="24"/>
          <w:lang w:val="en-GB"/>
        </w:rPr>
        <w:t xml:space="preserve"> </w:t>
      </w:r>
      <w:r w:rsidRPr="006F0394">
        <w:rPr>
          <w:rFonts w:ascii="Times New Roman" w:hAnsi="Times New Roman" w:cs="Times New Roman"/>
          <w:sz w:val="24"/>
        </w:rPr>
        <w:t>Several randomized controlled trials have established its effectiveness demonstrating, on average, a 25% breast cancer mortality reduction from mammography screening among women 50 to 69 years old</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{"citationItems":[{"id":"ITEM-1","itemData":{"DOI":"10.1056/NEJMsr1504363","ISSN":"1533-4406 (Electronic)","PMID":"26039523","author":[{"dropping-particle":"","family":"Lauby-Secretan","given":"Beatrice","non-dropping-particle":"","parse-names":false,"suffix":""},{"dropping-particle":"","family":"Scoccianti","given":"Chiara","non-dropping-particle":"","parse-names":false,"suffix":""},{"dropping-particle":"","family":"Loomis","given":"Dana","non-dropping-particle":"","parse-names":false,"suffix":""},{"dropping-particle":"","family":"Benbrahim-Tallaa","given":"Lamia","non-dropping-particle":"","parse-names":false,"suffix":""},{"dropping-particle":"","family":"Bouvard","given":"Veronique","non-dropping-particle":"","parse-names":false,"suffix":""},{"dropping-particle":"","family":"Bianchini","given":"Franca","non-dropping-particle":"","parse-names":false,"suffix":""},{"dropping-particle":"","family":"Straif","given":"Kurt","non-dropping-particle":"","parse-names":false,"suffix":""}],"container-title":"The New England journal of medicine","id":"ITEM-1","issue":"24","issued":{"date-parts":[["2015","6"]]},"language":"eng","page":"2353-2358","publisher-place":"United States","title":"Breast-cancer screening-viewpoint of the IARC Working Group.","type":"article-journal","volume":"372"},"uris":["http://www.mendeley.com/documents/?uuid=4f30586e-862d-4bf0-ad1d-639aeea24ef7"]}],"mendeley":{"formattedCitation":"&lt;sup&gt;3&lt;/sup&gt;","plainTextFormattedCitation":"3","previouslyFormattedCitation":"&lt;sup&gt;3&lt;/sup&gt;"},"properties":{"noteIndex":0},"schema":"https://github.com/citation-style-language/schema/raw/master/csl-citation.json"}</w:instrText>
      </w:r>
      <w:r>
        <w:rPr>
          <w:rFonts w:ascii="Times New Roman" w:hAnsi="Times New Roman" w:cs="Times New Roman"/>
          <w:sz w:val="24"/>
        </w:rPr>
        <w:fldChar w:fldCharType="separate"/>
      </w:r>
      <w:r w:rsidRPr="00EB53BE">
        <w:rPr>
          <w:rFonts w:ascii="Times New Roman" w:hAnsi="Times New Roman" w:cs="Times New Roman"/>
          <w:noProof/>
          <w:sz w:val="24"/>
          <w:vertAlign w:val="superscript"/>
        </w:rPr>
        <w:t>3</w:t>
      </w:r>
      <w:r>
        <w:rPr>
          <w:rFonts w:ascii="Times New Roman" w:hAnsi="Times New Roman" w:cs="Times New Roman"/>
          <w:sz w:val="24"/>
        </w:rPr>
        <w:fldChar w:fldCharType="end"/>
      </w:r>
      <w:r w:rsidRPr="006F0394">
        <w:rPr>
          <w:rFonts w:ascii="Times New Roman" w:hAnsi="Times New Roman" w:cs="Times New Roman"/>
          <w:sz w:val="24"/>
        </w:rPr>
        <w:t xml:space="preserve"> However, randomized controlled trials are limited in follow-up time and only a limited number of screening strategies can be eva</w:t>
      </w:r>
      <w:r>
        <w:rPr>
          <w:rFonts w:ascii="Times New Roman" w:hAnsi="Times New Roman" w:cs="Times New Roman"/>
          <w:sz w:val="24"/>
        </w:rPr>
        <w:t>luated.</w:t>
      </w:r>
    </w:p>
    <w:p w:rsidR="00723741" w:rsidRPr="006F0394"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Cost-effectiveness analysis</w:t>
      </w:r>
      <w:r>
        <w:rPr>
          <w:rFonts w:ascii="Times New Roman" w:hAnsi="Times New Roman" w:cs="Times New Roman"/>
          <w:sz w:val="24"/>
        </w:rPr>
        <w:t xml:space="preserve"> </w:t>
      </w:r>
      <w:r w:rsidRPr="006F0394">
        <w:rPr>
          <w:rFonts w:ascii="Times New Roman" w:hAnsi="Times New Roman" w:cs="Times New Roman"/>
          <w:sz w:val="24"/>
        </w:rPr>
        <w:t>evaluates the life-time harms and benefits of mammography screening and the resulting cost-effectiveness of different screening strategies to determine the optimal screening program</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{"citationItems":[{"id":"ITEM-1","itemData":{"DOI":"10.1002/ijc.30513","ISSN":"1097-0215 (Electronic)","PMID":"27861849","abstract":"The Norwegian Breast Cancer Screening Programme (NBCSP) has a nation-wide coverage since 2005. All women aged 50-69 years are invited biennially for mammography screening. We evaluated breast cancer mortality reduction and performed a cost-effectiveness analysis, using our microsimulation model, calibrated to most recent data. The microsimulation model allows for the comparison of mortality and costs between a (hypothetical) situation without screening and a situation with screening. Breast cancer incidence in Norway had a steep increase in the early 1990s. We calibrated the model to simulate this increase and included recent costs for screening, diagnosis and treatment of breast cancer and travel and productivity loss. We estimate a 16% breast cancer mortality reduction for a cohort of women, invited to screening, followed over their complete lifetime. Cost-effectiveness is estimated at NOK 112,162 per QALY gained, when taking only direct medical costs into account (the cost of the buses, examinations, and invitations). We used a 3.5% annual discount rate. Cost-effectiveness estimates are substantially below the threshold of NOK 1,926,366 as recommended by the WHO guidelines. For the Norwegian population, which has been gradually exposed to screening, breast cancer mortality reduction for women exposed to screening is increasing and is estimated to rise to approximately 30% in 2020 for women aged 55-80 years. The NBCSP is a highly cost-effective measure to reduce breast cancer specific mortality. We estimate a breast cancer specific mortality reduction of 16-30%, at the cost of 112,162 NOK per QALY gained.","author":[{"dropping-particle":"","family":"Luijt","given":"P A","non-dropping-particle":"van","parse-names":false,"suffix":""},{"dropping-particle":"","family":"Heijnsdijk","given":"E A M","non-dropping-particle":"","parse-names":false,"suffix":""},{"dropping-particle":"","family":"Koning","given":"H J","non-dropping-particle":"de","parse-names":false,"suffix":""}],"container-title":"International journal of cancer","id":"ITEM-1","issue":"4","issued":{"date-parts":[["2017","2"]]},"language":"eng","page":"833-840","publisher-place":"United States","title":"Cost-effectiveness of the Norwegian breast cancer screening program.","type":"article-journal","volume":"140"},"uris":["http://www.mendeley.com/documents/?uuid=25b0668c-aea3-40a5-8741-f1c7beaf8998"]}],"mendeley":{"formattedCitation":"&lt;sup&gt;4&lt;/sup&gt;","plainTextFormattedCitation":"4","previouslyFormattedCitation":"&lt;sup&gt;4&lt;/sup&gt;"},"properties":{"noteIndex":0},"schema":"https://github.com/citation-style-language/schema/raw/master/csl-citation.json"}</w:instrText>
      </w:r>
      <w:r>
        <w:rPr>
          <w:rFonts w:ascii="Times New Roman" w:hAnsi="Times New Roman" w:cs="Times New Roman"/>
          <w:sz w:val="24"/>
        </w:rPr>
        <w:fldChar w:fldCharType="separate"/>
      </w:r>
      <w:r w:rsidRPr="00EB53BE">
        <w:rPr>
          <w:rFonts w:ascii="Times New Roman" w:hAnsi="Times New Roman" w:cs="Times New Roman"/>
          <w:noProof/>
          <w:sz w:val="24"/>
          <w:vertAlign w:val="superscript"/>
        </w:rPr>
        <w:t>4</w:t>
      </w:r>
      <w:r>
        <w:rPr>
          <w:rFonts w:ascii="Times New Roman" w:hAnsi="Times New Roman" w:cs="Times New Roman"/>
          <w:sz w:val="24"/>
        </w:rPr>
        <w:fldChar w:fldCharType="end"/>
      </w:r>
      <w:r w:rsidRPr="006F0394">
        <w:rPr>
          <w:rFonts w:ascii="Times New Roman" w:hAnsi="Times New Roman" w:cs="Times New Roman"/>
          <w:sz w:val="24"/>
        </w:rPr>
        <w:t xml:space="preserve"> Traditionally, cost-effectiveness analyses mostly considered life-years gained to calculate the ratio of costs per unit of effectiveness</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{"citationItems":[{"id":"ITEM-1","itemData":{"DOI":"10.1002/ijc.30513","ISSN":"1097-0215 (Electronic)","PMID":"27861849","abstract":"The Norwegian Breast Cancer Screening Programme (NBCSP) has a nation-wide coverage since 2005. All women aged 50-69 years are invited biennially for mammography screening. We evaluated breast cancer mortality reduction and performed a cost-effectiveness analysis, using our microsimulation model, calibrated to most recent data. The microsimulation model allows for the comparison of mortality and costs between a (hypothetical) situation without screening and a situation with screening. Breast cancer incidence in Norway had a steep increase in the early 1990s. We calibrated the model to simulate this increase and included recent costs for screening, diagnosis and treatment of breast cancer and travel and productivity loss. We estimate a 16% breast cancer mortality reduction for a cohort of women, invited to screening, followed over their complete lifetime. Cost-effectiveness is estimated at NOK 112,162 per QALY gained, when taking only direct medical costs into account (the cost of the buses, examinations, and invitations). We used a 3.5% annual discount rate. Cost-effectiveness estimates are substantially below the threshold of NOK 1,926,366 as recommended by the WHO guidelines. For the Norwegian population, which has been gradually exposed to screening, breast cancer mortality reduction for women exposed to screening is increasing and is estimated to rise to approximately 30% in 2020 for women aged 55-80 years. The NBCSP is a highly cost-effective measure to reduce breast cancer specific mortality. We estimate a breast cancer specific mortality reduction of 16-30%, at the cost of 112,162 NOK per QALY gained.","author":[{"dropping-particle":"","family":"Luijt","given":"P A","non-dropping-particle":"van","parse-names":false,"suffix":""},{"dropping-particle":"","family":"Heijnsdijk","given":"E A M","non-dropping-particle":"","parse-names":false,"suffix":""},{"dropping-particle":"","family":"Koning","given":"H J","non-dropping-particle":"de","parse-names":false,"suffix":""}],"container-title":"International journal of cancer","id":"ITEM-1","issue":"4","issued":{"date-parts":[["2017","2"]]},"language":"eng","page":"833-840","publisher-place":"United States","title":"Cost-effectiveness of the Norwegian breast cancer screening program.","type":"article-journal","volume":"140"},"uris":["http://www.mendeley.com/documents/?uuid=25b0668c-aea3-40a5-8741-f1c7beaf8998"]},{"id":"ITEM-2","itemData":{"author":[{"dropping-particle":"","family":"Luijt","given":"Paula","non-dropping-particle":"van","parse-names":false,"suffix":""}],"id":"ITEM-2","issued":{"date-parts":[["2016"]]},"publisher":"Erasmus University Rotterdam","title":"Overdiagnosis in the Dutch and Norwegian breast cancer screening program","type":"thesis"},"uris":["http://www.mendeley.com/documents/?uuid=a87612e9-b33e-4080-aecc-0fa3d473a526"]}],"mendeley":{"formattedCitation":"&lt;sup&gt;4,5&lt;/sup&gt;","plainTextFormattedCitation":"4,5","previouslyFormattedCitation":"&lt;sup&gt;4,5&lt;/sup&gt;"},"properties":{"noteIndex":0},"schema":"https://github.com/citation-style-language/schema/raw/master/csl-citation.json"}</w:instrText>
      </w:r>
      <w:r>
        <w:rPr>
          <w:rFonts w:ascii="Times New Roman" w:hAnsi="Times New Roman" w:cs="Times New Roman"/>
          <w:sz w:val="24"/>
        </w:rPr>
        <w:fldChar w:fldCharType="separate"/>
      </w:r>
      <w:r w:rsidRPr="00EB53BE">
        <w:rPr>
          <w:rFonts w:ascii="Times New Roman" w:hAnsi="Times New Roman" w:cs="Times New Roman"/>
          <w:noProof/>
          <w:sz w:val="24"/>
          <w:vertAlign w:val="superscript"/>
        </w:rPr>
        <w:t>4,5</w:t>
      </w:r>
      <w:r>
        <w:rPr>
          <w:rFonts w:ascii="Times New Roman" w:hAnsi="Times New Roman" w:cs="Times New Roman"/>
          <w:sz w:val="24"/>
        </w:rPr>
        <w:fldChar w:fldCharType="end"/>
      </w:r>
      <w:r w:rsidRPr="006F0394">
        <w:rPr>
          <w:rFonts w:ascii="Times New Roman" w:hAnsi="Times New Roman" w:cs="Times New Roman"/>
          <w:sz w:val="24"/>
        </w:rPr>
        <w:t xml:space="preserve"> To capture not only the effects on mortality and morbidity, but also to compare different burden of diseases</w:t>
      </w:r>
      <w:r>
        <w:rPr>
          <w:rFonts w:ascii="Times New Roman" w:hAnsi="Times New Roman" w:cs="Times New Roman"/>
          <w:sz w:val="24"/>
        </w:rPr>
        <w:t xml:space="preserve"> and the impact of screening itself</w:t>
      </w:r>
      <w:r w:rsidRPr="006F0394">
        <w:rPr>
          <w:rFonts w:ascii="Times New Roman" w:hAnsi="Times New Roman" w:cs="Times New Roman"/>
          <w:sz w:val="24"/>
        </w:rPr>
        <w:t>, two alternative measures of life-years gained have been proposed: disability adjusted life-years (DALYs) and quality-adjusted life-years (QALYs). These are summary measures of population health that allow the combined impact of death and morbidity to be considered simultaneously</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{"citationItems":[{"id":"ITEM-1","itemData":{"DOI":"10.1146/annurev.publhealth.23.100901.140513","ISSN":"0163-7525 (Print)","PMID":"11910057","abstract":"Health-adjusted life years (HALYs) are population health measures permitting morbidity and mortality to be simultaneously described within a single number. They are useful for overall estimates of burden of disease, comparisons of the relative impact of specific illnesses and conditions on communities, and in economic analyses. Quality-adjusted life years (QALYs) and disability-adjusted life years (DALYs) are types of HALYs whose original purposes were at variance. Their growing importance and the varied uptake of the methodology by different U.S. and international entities makes it useful to understand their differences as well as their similarities. A brief history of both measures is presented and methods for calculating them are reviewed. Methodological and ethical issues that have been raised in association with HALYs more generally are presented. Finally, we raise concerns about the practice of using different types of HALYs within different decision-making contexts and urge action that builds and clarifies this useful measurement field.","author":[{"dropping-particle":"","family":"Gold","given":"Marthe R","non-dropping-particle":"","parse-names":false,"suffix":""},{"dropping-particle":"","family":"Stevenson","given":"David","non-dropping-particle":"","parse-names":false,"suffix":""},{"dropping-particle":"","family":"Fryback","given":"Dennis G","non-dropping-particle":"","parse-names":false,"suffix":""}],"container-title":"Annual review of public health","id":"ITEM-1","issued":{"date-parts":[["2002"]]},"language":"eng","page":"115-134","publisher-place":"United States","title":"HALYs and QALYs and DALYs, Oh My: similarities and differences in summary measures of population Health.","type":"article-journal","volume":"23"},"uris":["http://www.mendeley.com/documents/?uuid=555dfd57-dc56-48ca-94d3-6d12660a9236"]}],"mendeley":{"formattedCitation":"&lt;sup&gt;6&lt;/sup&gt;","plainTextFormattedCitation":"6","previouslyFormattedCitation":"&lt;sup&gt;6&lt;/sup&gt;"},"properties":{"noteIndex":0},"schema":"https://github.com/citation-style-language/schema/raw/master/csl-citation.json"}</w:instrText>
      </w:r>
      <w:r>
        <w:rPr>
          <w:rFonts w:ascii="Times New Roman" w:hAnsi="Times New Roman" w:cs="Times New Roman"/>
          <w:sz w:val="24"/>
        </w:rPr>
        <w:fldChar w:fldCharType="separate"/>
      </w:r>
      <w:r w:rsidRPr="00EB53BE">
        <w:rPr>
          <w:rFonts w:ascii="Times New Roman" w:hAnsi="Times New Roman" w:cs="Times New Roman"/>
          <w:noProof/>
          <w:sz w:val="24"/>
          <w:vertAlign w:val="superscript"/>
        </w:rPr>
        <w:t>6</w:t>
      </w:r>
      <w:r>
        <w:rPr>
          <w:rFonts w:ascii="Times New Roman" w:hAnsi="Times New Roman" w:cs="Times New Roman"/>
          <w:sz w:val="24"/>
        </w:rPr>
        <w:fldChar w:fldCharType="end"/>
      </w:r>
      <w:r w:rsidRPr="006F0394">
        <w:rPr>
          <w:rFonts w:ascii="Times New Roman" w:hAnsi="Times New Roman" w:cs="Times New Roman"/>
          <w:sz w:val="24"/>
        </w:rPr>
        <w:t xml:space="preserve"> </w:t>
      </w:r>
      <w:r w:rsidRPr="00417948">
        <w:rPr>
          <w:rFonts w:ascii="Times New Roman" w:hAnsi="Times New Roman" w:cs="Times New Roman"/>
          <w:sz w:val="24"/>
        </w:rPr>
        <w:t>DALYs are a measure of the burden of disease, and studies on cost-per-DALY mostly have been focusing on health interventions in lower income country contexts analyzing health effects in global health</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{"citationItems":[{"id":"ITEM-1","itemData":{"DOI":"10.1016/j.jval.2017.12.016","ISSN":"15244733","PMID":"30005746","abstract":"Objectives: To determine what thresholds are most often cited in the cost-effectiveness literature for low- and middle-income countries (LMICs), given various recommendations proposed and used in the literature to date, and thereafter to assess whether studies appropriately justified their use of threshold values. Methods: We reviewed the contents of the Tufts Medical Center Global Health Cost-Effectiveness Analysis Registry, a repository of all English language cost-per-disability-adjusted life-year averted studies indexed in PubMed. Our review included all catalogued cost-per-disability-adjusted life-year studies published from 2000 through 2015. We restricted attention to studies that investigated interventions in LMICs. Results: Our analysis identified 381 studies (80%) focused on LMICs. Of these studies, 250 (66%) cited the World Health Organization's 1 to 3 times gross domestic product per capita threshold. A full-text review of 60 (24%) of these articles (randomly selected) revealed that none justified use of this threshold in the particular country or countries studied beyond citing (generic) guideline documents. Conclusions: Cost-effectiveness analysis can help inform health care spending, but its value depends on incorporating assumptions that are valid for the applicable setting. Rather than rely on commonly used, generic economic thresholds, we encourage authors to use context-specific thresholds that reflect local preferences.","author":[{"dropping-particle":"","family":"Leech","given":"Ashley A.","non-dropping-particle":"","parse-names":false,"suffix":""},{"dropping-particle":"","family":"Kim","given":"David D.","non-dropping-particle":"","parse-names":false,"suffix":""},{"dropping-particle":"","family":"Cohen","given":"Joshua T.","non-dropping-particle":"","parse-names":false,"suffix":""},{"dropping-particle":"","family":"Neumann","given":"Peter J.","non-dropping-particle":"","parse-names":false,"suffix":""}],"container-title":"Value in Health","id":"ITEM-1","issue":"7","issued":{"date-parts":[["2018","7","1"]]},"page":"759-761","publisher":"Elsevier Ltd","title":"Use and Misuse of Cost-Effectiveness Analysis Thresholds in Low- and Middle-Income Countries: Trends in Cost-per-DALY Studies","type":"article-journal","volume":"21"},"uris":["http://www.mendeley.com/documents/?uuid=dc9f3b3b-424b-3326-b766-08faf0292bdb"]},{"id":"ITEM-2","itemData":{"DOI":"10.1371/journal.pone.0168512","ISSN":"1932-6203 (Electronic)","PMID":"28005986","abstract":"INTRODUCTION: Calculating the cost per disability-adjusted life years (DALYs) averted associated with interventions is an increasing popular means of assessing the cost-effectiveness of strategies to improve population health. However, there has been no systematic attempt to characterize the literature and its evolution. METHODS: We conducted a systematic review of cost-effectiveness studies reporting cost-per-DALY averted from 2000 through 2015. We developed the Global Health Cost-Effectiveness Analysis (GHCEA) Registry, a repository of English-language cost-per-DALY averted studies indexed in PubMed. To identify candidate studies, we searched PubMed for articles with titles or abstracts containing the phrases \"disability-adjusted\" or \"DALY\". Two reviewers with training in health economics independently reviewed each article selected in our abstract review, gathering information using a standardized data collection form. We summarized descriptive characteristics on study methodology: e.g., intervention type, country of study, study funder, study perspective, along with methodological and reporting practices over two time periods: 2000-2009 and 2010-2015. We analyzed the types of costs included in analyses, the study quality on a scale from 1 (low) to 7 (high), and examined the correlation between diseases researched and the burden of disease in different world regions. RESULTS: We identified 479 cost-per-DALY averted studies published from 2000 through 2015. Studies from Sub-Saharan Africa comprised the largest portion of published studies. The disease areas most commonly studied were communicable, maternal, neonatal, and nutritional disorders (67%), followed by non-communicable diseases (28%). A high proportion of studies evaluated primary prevention strategies (59%). Pharmaceutical interventions were commonly assessed (32%) followed by immunizations (28%). Adherence to good practices for conducting and reporting cost-effectiveness analysis varied considerably. Studies mainly included formal healthcare sector costs. A large number of the studies in Sub-Saharan Africa addressed high-burden conditions such as HIV/AIDS, tuberculosis, neglected tropical diseases and malaria, and diarrhea, lower respiratory infections, meningitis, and other common infectious diseases. CONCLUSION: The Global Health Cost-Effectiveness Analysis Registry reveals a growing and diverse field of cost-per-DALY averted studies. However, study methods and reporting practices have va…","author":[{"dropping-particle":"","family":"Neumann","given":"Peter J","non-dropping-particle":"","parse-names":false,"suffix":""},{"dropping-particle":"","family":"Thorat","given":"Teja","non-dropping-particle":"","parse-names":false,"suffix":""},{"dropping-particle":"","family":"Zhong","given":"Yue","non-dropping-particle":"","parse-names":false,"suffix":""},{"dropping-particle":"","family":"Anderson","given":"Jordan","non-dropping-particle":"","parse-names":false,"suffix":""},{"dropping-particle":"","family":"Farquhar","given":"Megan","non-dropping-particle":"","parse-names":false,"suffix":""},{"dropping-particle":"","family":"Salem","given":"Mark","non-dropping-particle":"","parse-names":false,"suffix":""},{"dropping-particle":"","family":"Sandberg","given":"Eileen","non-dropping-particle":"","parse-names":false,"suffix":""},{"dropping-particle":"","family":"Saret","given":"Cayla J","non-dropping-particle":"","parse-names":false,"suffix":""},{"dropping-particle":"","family":"Wilkinson","given":"Colby","non-dropping-particle":"","parse-names":false,"suffix":""},{"dropping-particle":"","family":"Cohen","given":"Joshua T","non-dropping-particle":"","parse-names":false,"suffix":""}],"container-title":"PloS one","id":"ITEM-2","issue":"12","issued":{"date-parts":[["2016"]]},"language":"eng","page":"e0168512","publisher-place":"United States","title":"A Systematic Review of Cost-Effectiveness Studies Reporting Cost-per-DALY Averted.","type":"article-journal","volume":"11"},"uris":["http://www.mendeley.com/documents/?uuid=915f67f9-47c3-4763-a135-4d70e97444fd"]}],"mendeley":{"formattedCitation":"&lt;sup&gt;7,8&lt;/sup&gt;","plainTextFormattedCitation":"7,8","previouslyFormattedCitation":"&lt;sup&gt;7,8&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7,8</w:t>
      </w:r>
      <w:r>
        <w:rPr>
          <w:rFonts w:ascii="Times New Roman" w:hAnsi="Times New Roman" w:cs="Times New Roman"/>
          <w:sz w:val="24"/>
        </w:rPr>
        <w:fldChar w:fldCharType="end"/>
      </w:r>
      <w:r w:rsidRPr="00417948">
        <w:rPr>
          <w:rFonts w:ascii="Times New Roman" w:hAnsi="Times New Roman" w:cs="Times New Roman"/>
          <w:sz w:val="24"/>
        </w:rPr>
        <w:t xml:space="preserve"> QALYs are </w:t>
      </w:r>
      <w:r>
        <w:rPr>
          <w:rFonts w:ascii="Times New Roman" w:hAnsi="Times New Roman" w:cs="Times New Roman"/>
          <w:sz w:val="24"/>
        </w:rPr>
        <w:t xml:space="preserve">more </w:t>
      </w:r>
      <w:r w:rsidRPr="00417948">
        <w:rPr>
          <w:rFonts w:ascii="Times New Roman" w:hAnsi="Times New Roman" w:cs="Times New Roman"/>
          <w:sz w:val="24"/>
        </w:rPr>
        <w:t>dominantly used in economic evaluations, but mostly in higher income countries</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{"citationItems":[{"id":"ITEM-1","itemData":{"DOI":"10.1016/j.jval.2017.12.016","ISSN":"15244733","PMID":"30005746","abstract":"Objectives: To determine what thresholds are most often cited in the cost-effectiveness literature for low- and middle-income countries (LMICs), given various recommendations proposed and used in the literature to date, and thereafter to assess whether studies appropriately justified their use of threshold values. Methods: We reviewed the contents of the Tufts Medical Center Global Health Cost-Effectiveness Analysis Registry, a repository of all English language cost-per-disability-adjusted life-year averted studies indexed in PubMed. Our review included all catalogued cost-per-disability-adjusted life-year studies published from 2000 through 2015. We restricted attention to studies that investigated interventions in LMICs. Results: Our analysis identified 381 studies (80%) focused on LMICs. Of these studies, 250 (66%) cited the World Health Organization's 1 to 3 times gross domestic product per capita threshold. A full-text review of 60 (24%) of these articles (randomly selected) revealed that none justified use of this threshold in the particular country or countries studied beyond citing (generic) guideline documents. Conclusions: Cost-effectiveness analysis can help inform health care spending, but its value depends on incorporating assumptions that are valid for the applicable setting. Rather than rely on commonly used, generic economic thresholds, we encourage authors to use context-specific thresholds that reflect local preferences.","author":[{"dropping-particle":"","family":"Leech","given":"Ashley A.","non-dropping-particle":"","parse-names":false,"suffix":""},{"dropping-particle":"","family":"Kim","given":"David D.","non-dropping-particle":"","parse-names":false,"suffix":""},{"dropping-particle":"","family":"Cohen","given":"Joshua T.","non-dropping-particle":"","parse-names":false,"suffix":""},{"dropping-particle":"","family":"Neumann","given":"Peter J.","non-dropping-particle":"","parse-names":false,"suffix":""}],"container-title":"Value in Health","id":"ITEM-1","issue":"7","issued":{"date-parts":[["2018","7","1"]]},"page":"759-761","publisher":"Elsevier Ltd","title":"Use and Misuse of Cost-Effectiveness Analysis Thresholds in Low- and Middle-Income Countries: Trends in Cost-per-DALY Studies","type":"article-journal","volume":"21"},"uris":["http://www.mendeley.com/documents/?uuid=dc9f3b3b-424b-3326-b766-08faf0292bdb"]},{"id":"ITEM-2","itemData":{"DOI":"10.1371/journal.pone.0168512","ISSN":"1932-6203 (Electronic)","PMID":"28005986","abstract":"INTRODUCTION: Calculating the cost per disability-adjusted life years (DALYs) averted associated with interventions is an increasing popular means of assessing the cost-effectiveness of strategies to improve population health. However, there has been no systematic attempt to characterize the literature and its evolution. METHODS: We conducted a systematic review of cost-effectiveness studies reporting cost-per-DALY averted from 2000 through 2015. We developed the Global Health Cost-Effectiveness Analysis (GHCEA) Registry, a repository of English-language cost-per-DALY averted studies indexed in PubMed. To identify candidate studies, we searched PubMed for articles with titles or abstracts containing the phrases \"disability-adjusted\" or \"DALY\". Two reviewers with training in health economics independently reviewed each article selected in our abstract review, gathering information using a standardized data collection form. We summarized descriptive characteristics on study methodology: e.g., intervention type, country of study, study funder, study perspective, along with methodological and reporting practices over two time periods: 2000-2009 and 2010-2015. We analyzed the types of costs included in analyses, the study quality on a scale from 1 (low) to 7 (high), and examined the correlation between diseases researched and the burden of disease in different world regions. RESULTS: We identified 479 cost-per-DALY averted studies published from 2000 through 2015. Studies from Sub-Saharan Africa comprised the largest portion of published studies. The disease areas most commonly studied were communicable, maternal, neonatal, and nutritional disorders (67%), followed by non-communicable diseases (28%). A high proportion of studies evaluated primary prevention strategies (59%). Pharmaceutical interventions were commonly assessed (32%) followed by immunizations (28%). Adherence to good practices for conducting and reporting cost-effectiveness analysis varied considerably. Studies mainly included formal healthcare sector costs. A large number of the studies in Sub-Saharan Africa addressed high-burden conditions such as HIV/AIDS, tuberculosis, neglected tropical diseases and malaria, and diarrhea, lower respiratory infections, meningitis, and other common infectious diseases. CONCLUSION: The Global Health Cost-Effectiveness Analysis Registry reveals a growing and diverse field of cost-per-DALY averted studies. However, study methods and reporting practices have va…","author":[{"dropping-particle":"","family":"Neumann","given":"Peter J","non-dropping-particle":"","parse-names":false,"suffix":""},{"dropping-particle":"","family":"Thorat","given":"Teja","non-dropping-particle":"","parse-names":false,"suffix":""},{"dropping-particle":"","family":"Zhong","given":"Yue","non-dropping-particle":"","parse-names":false,"suffix":""},{"dropping-particle":"","family":"Anderson","given":"Jordan","non-dropping-particle":"","parse-names":false,"suffix":""},{"dropping-particle":"","family":"Farquhar","given":"Megan","non-dropping-particle":"","parse-names":false,"suffix":""},{"dropping-particle":"","family":"Salem","given":"Mark","non-dropping-particle":"","parse-names":false,"suffix":""},{"dropping-particle":"","family":"Sandberg","given":"Eileen","non-dropping-particle":"","parse-names":false,"suffix":""},{"dropping-particle":"","family":"Saret","given":"Cayla J","non-dropping-particle":"","parse-names":false,"suffix":""},{"dropping-particle":"","family":"Wilkinson","given":"Colby","non-dropping-particle":"","parse-names":false,"suffix":""},{"dropping-particle":"","family":"Cohen","given":"Joshua T","non-dropping-particle":"","parse-names":false,"suffix":""}],"container-title":"PloS one","id":"ITEM-2","issue":"12","issued":{"date-parts":[["2016"]]},"language":"eng","page":"e0168512","publisher-place":"United States","title":"A Systematic Review of Cost-Effectiveness Studies Reporting Cost-per-DALY Averted.","type":"article-journal","volume":"11"},"uris":["http://www.mendeley.com/documents/?uuid=915f67f9-47c3-4763-a135-4d70e97444fd"]}],"mendeley":{"formattedCitation":"&lt;sup&gt;7,8&lt;/sup&gt;","plainTextFormattedCitation":"7,8","previouslyFormattedCitation":"&lt;sup&gt;7,8&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7,8</w:t>
      </w:r>
      <w:r>
        <w:rPr>
          <w:rFonts w:ascii="Times New Roman" w:hAnsi="Times New Roman" w:cs="Times New Roman"/>
          <w:sz w:val="24"/>
        </w:rPr>
        <w:fldChar w:fldCharType="end"/>
      </w:r>
      <w:r>
        <w:rPr>
          <w:rFonts w:ascii="Times New Roman" w:hAnsi="Times New Roman" w:cs="Times New Roman"/>
          <w:sz w:val="24"/>
        </w:rPr>
        <w:t xml:space="preserve"> </w:t>
      </w:r>
      <w:r w:rsidRPr="006F0394">
        <w:rPr>
          <w:rFonts w:ascii="Times New Roman" w:hAnsi="Times New Roman" w:cs="Times New Roman"/>
          <w:sz w:val="24"/>
        </w:rPr>
        <w:t xml:space="preserve">The number of cost-effectiveness studies, which included costs per DALY averted or QALY gained has grown </w:t>
      </w:r>
      <w:r>
        <w:rPr>
          <w:rFonts w:ascii="Times New Roman" w:hAnsi="Times New Roman" w:cs="Times New Roman"/>
          <w:sz w:val="24"/>
        </w:rPr>
        <w:t xml:space="preserve">globally </w:t>
      </w:r>
      <w:r w:rsidRPr="006F0394">
        <w:rPr>
          <w:rFonts w:ascii="Times New Roman" w:hAnsi="Times New Roman" w:cs="Times New Roman"/>
          <w:sz w:val="24"/>
        </w:rPr>
        <w:t>in recent years</w:t>
      </w:r>
      <w:r>
        <w:rPr>
          <w:rFonts w:ascii="Times New Roman" w:hAnsi="Times New Roman" w:cs="Times New Roman"/>
          <w:sz w:val="24"/>
        </w:rPr>
        <w:t>, with more than 600 and 7,000 reported studies by 2017 respectively, to measure health benefits.</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{"citationItems":[{"id":"ITEM-1","itemData":{"DOI":"10.1371/journal.pone.0168512","ISSN":"1932-6203 (Electronic)","PMID":"28005986","abstract":"INTRODUCTION: Calculating the cost per disability-adjusted life years (DALYs) averted associated with interventions is an increasing popular means of assessing the cost-effectiveness of strategies to improve population health. However, there has been no systematic attempt to characterize the literature and its evolution. METHODS: We conducted a systematic review of cost-effectiveness studies reporting cost-per-DALY averted from 2000 through 2015. We developed the Global Health Cost-Effectiveness Analysis (GHCEA) Registry, a repository of English-language cost-per-DALY averted studies indexed in PubMed. To identify candidate studies, we searched PubMed for articles with titles or abstracts containing the phrases \"disability-adjusted\" or \"DALY\". Two reviewers with training in health economics independently reviewed each article selected in our abstract review, gathering information using a standardized data collection form. We summarized descriptive characteristics on study methodology: e.g., intervention type, country of study, study funder, study perspective, along with methodological and reporting practices over two time periods: 2000-2009 and 2010-2015. We analyzed the types of costs included in analyses, the study quality on a scale from 1 (low) to 7 (high), and examined the correlation between diseases researched and the burden of disease in different world regions. RESULTS: We identified 479 cost-per-DALY averted studies published from 2000 through 2015. Studies from Sub-Saharan Africa comprised the largest portion of published studies. The disease areas most commonly studied were communicable, maternal, neonatal, and nutritional disorders (67%), followed by non-communicable diseases (28%). A high proportion of studies evaluated primary prevention strategies (59%). Pharmaceutical interventions were commonly assessed (32%) followed by immunizations (28%). Adherence to good practices for conducting and reporting cost-effectiveness analysis varied considerably. Studies mainly included formal healthcare sector costs. A large number of the studies in Sub-Saharan Africa addressed high-burden conditions such as HIV/AIDS, tuberculosis, neglected tropical diseases and malaria, and diarrhea, lower respiratory infections, meningitis, and other common infectious diseases. CONCLUSION: The Global Health Cost-Effectiveness Analysis Registry reveals a growing and diverse field of cost-per-DALY averted studies. However, study methods and reporting practices have va…","author":[{"dropping-particle":"","family":"Neumann","given":"Peter J","non-dropping-particle":"","parse-names":false,"suffix":""},{"dropping-particle":"","family":"Thorat","given":"Teja","non-dropping-particle":"","parse-names":false,"suffix":""},{"dropping-particle":"","family":"Zhong","given":"Yue","non-dropping-particle":"","parse-names":false,"suffix":""},{"dropping-particle":"","family":"Anderson","given":"Jordan","non-dropping-particle":"","parse-names":false,"suffix":""},{"dropping-particle":"","family":"Farquhar","given":"Megan","non-dropping-particle":"","parse-names":false,"suffix":""},{"dropping-particle":"","family":"Salem","given":"Mark","non-dropping-particle":"","parse-names":false,"suffix":""},{"dropping-particle":"","family":"Sandberg","given":"Eileen","non-dropping-particle":"","parse-names":false,"suffix":""},{"dropping-particle":"","family":"Saret","given":"Cayla J","non-dropping-particle":"","parse-names":false,"suffix":""},{"dropping-particle":"","family":"Wilkinson","given":"Colby","non-dropping-particle":"","parse-names":false,"suffix":""},{"dropping-particle":"","family":"Cohen","given":"Joshua T","non-dropping-particle":"","parse-names":false,"suffix":""}],"container-title":"PloS one","id":"ITEM-1","issue":"12","issued":{"date-parts":[["2016"]]},"language":"eng","page":"e0168512","publisher-place":"United States","title":"A Systematic Review of Cost-Effectiveness Studies Reporting Cost-per-DALY Averted.","type":"article-journal","volume":"11"},"uris":["http://www.mendeley.com/documents/?uuid=915f67f9-47c3-4763-a135-4d70e97444fd"]},{"id":"ITEM-2","itemData":{"DOI":"10.1515/2152-2812.1114","author":[{"dropping-particle":"","family":"Thorat","given":"Teja","non-dropping-particle":"","parse-names":false,"suffix":""},{"dropping-particle":"","family":"Cangelosi","given":"Michael","non-dropping-particle":"","parse-names":false,"suffix":""},{"dropping-particle":"","family":"Neumann","given":"Peter","non-dropping-particle":"","parse-names":false,"suffix":""}],"container-title":"Journal of Benefit-Cost Analysis","id":"ITEM-2","issued":{"date-parts":[["2012"]]},"page":"5","title":"Skills of the trade: The Tufts Cost-Effectiveness Analysis (CEA) Registry","type":"article-journal","volume":"3"},"uris":["http://www.mendeley.com/documents/?uuid=0482f24d-85ca-49a8-b781-371dce2c9706"]},{"id":"ITEM-3","itemData":{"URL":"www.cearegistry.org","accessed":{"date-parts":[["2020","2","28"]]},"container-title":"Institute for Clinical Research and Health Policy Studies, Tufts Medical Center","id":"ITEM-3","issued":{"date-parts":[["0"]]},"title":"Center for the Evaluation of Value and Risk in Health. The Cost-Effectiveness Analysis Registry","type":"webpage"},"uris":["http://www.mendeley.com/documents/?uuid=e4feffed-362b-4e0d-b583-f0c541470d3d"]},{"id":"ITEM-4","itemData":{"DOI":"10.1017/S0266462320000124","author":[{"dropping-particle":"","family":"Feng","given":"Xue","non-dropping-particle":"","parse-names":false,"suffix":""},{"dropping-particle":"","family":"Kim","given":"David D","non-dropping-particle":"","parse-names":false,"suffix":""},{"dropping-particle":"","family":"Cohen","given":"Joshua T","non-dropping-particle":"","parse-names":false,"suffix":""},{"dropping-particle":"","family":"Neumann","given":"Peter J","non-dropping-particle":"","parse-names":false,"suffix":""},{"dropping-particle":"","family":"Ollendorf","given":"Daniel A","non-dropping-particle":"","parse-names":false,"suffix":""}],"container-title":"International Journal of Technology Assessment in Health Care","id":"ITEM-4","issue":"2","issued":{"date-parts":[["2020"]]},"page":"96–103","publisher":"Cambridge University Press","title":"Using QALYs versus DALYs to measure cost-effectiveness: How much does it matter?","type":"article-journal","volume":"36"},"uris":["http://www.mendeley.com/documents/?uuid=f0f7868a-7640-46a8-950f-c13cc6b56c9d"]}],"mendeley":{"formattedCitation":"&lt;sup&gt;8–11&lt;/sup&gt;","plainTextFormattedCitation":"8–11","previouslyFormattedCitation":"&lt;sup&gt;8–11&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8–11</w:t>
      </w:r>
      <w:r>
        <w:rPr>
          <w:rFonts w:ascii="Times New Roman" w:hAnsi="Times New Roman" w:cs="Times New Roman"/>
          <w:sz w:val="24"/>
        </w:rPr>
        <w:fldChar w:fldCharType="end"/>
      </w:r>
      <w:r w:rsidRPr="006F0394">
        <w:rPr>
          <w:rFonts w:ascii="Times New Roman" w:hAnsi="Times New Roman" w:cs="Times New Roman"/>
          <w:sz w:val="24"/>
        </w:rPr>
        <w:t xml:space="preserve"> Still, information on the impact of using DALYs versus QALYs on outcomes of cost-effectiveness analyses and optimal s</w:t>
      </w:r>
      <w:r>
        <w:rPr>
          <w:rFonts w:ascii="Times New Roman" w:hAnsi="Times New Roman" w:cs="Times New Roman"/>
          <w:sz w:val="24"/>
        </w:rPr>
        <w:t>creening strategies is lacking.</w:t>
      </w:r>
    </w:p>
    <w:p w:rsidR="00723741" w:rsidRPr="006F0394"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 xml:space="preserve">The aim of this research was to determine whether using DALY averted or QALY gained in cost-effectiveness analyses </w:t>
      </w:r>
      <w:r>
        <w:rPr>
          <w:rFonts w:ascii="Times New Roman" w:hAnsi="Times New Roman" w:cs="Times New Roman"/>
          <w:sz w:val="24"/>
        </w:rPr>
        <w:t xml:space="preserve">of 24 screening strategies </w:t>
      </w:r>
      <w:r w:rsidRPr="006F0394">
        <w:rPr>
          <w:rFonts w:ascii="Times New Roman" w:hAnsi="Times New Roman" w:cs="Times New Roman"/>
          <w:sz w:val="24"/>
        </w:rPr>
        <w:t>leads to differences in estimates of optimal strategi</w:t>
      </w:r>
      <w:r>
        <w:rPr>
          <w:rFonts w:ascii="Times New Roman" w:hAnsi="Times New Roman" w:cs="Times New Roman"/>
          <w:sz w:val="24"/>
        </w:rPr>
        <w:t>es for breast cancer screening in the Netherlands.</w:t>
      </w:r>
    </w:p>
    <w:p w:rsidR="00723741" w:rsidRPr="006F0394" w:rsidRDefault="00723741" w:rsidP="00723741">
      <w:pPr>
        <w:pStyle w:val="Heading1-Manuscript"/>
        <w:spacing w:line="276" w:lineRule="auto"/>
        <w:rPr>
          <w:b w:val="0"/>
        </w:rPr>
      </w:pPr>
      <w:r w:rsidRPr="006F0394">
        <w:t>METHODS</w:t>
      </w:r>
    </w:p>
    <w:p w:rsidR="00723741" w:rsidRPr="006F0394" w:rsidRDefault="00723741" w:rsidP="00723741">
      <w:pPr>
        <w:ind w:left="360"/>
        <w:jc w:val="both"/>
        <w:rPr>
          <w:rFonts w:ascii="Times New Roman" w:hAnsi="Times New Roman" w:cs="Times New Roman"/>
          <w:b/>
          <w:sz w:val="24"/>
        </w:rPr>
      </w:pPr>
      <w:r w:rsidRPr="006F0394">
        <w:rPr>
          <w:rFonts w:ascii="Times New Roman" w:hAnsi="Times New Roman" w:cs="Times New Roman"/>
          <w:sz w:val="24"/>
        </w:rPr>
        <w:t xml:space="preserve">Using the microsimulation model MISCAN, we simulated different breast cancer screening strategies varying in starting age, stopping age, and frequency. To determine the optimal screening strategy, </w:t>
      </w:r>
      <w:r>
        <w:rPr>
          <w:rFonts w:ascii="Times New Roman" w:hAnsi="Times New Roman" w:cs="Times New Roman"/>
          <w:sz w:val="24"/>
        </w:rPr>
        <w:t xml:space="preserve">we evaluated </w:t>
      </w:r>
      <w:r w:rsidRPr="006F0394">
        <w:rPr>
          <w:rFonts w:ascii="Times New Roman" w:hAnsi="Times New Roman" w:cs="Times New Roman"/>
          <w:sz w:val="24"/>
        </w:rPr>
        <w:t>the costs and effects of different screening strategies, using both</w:t>
      </w:r>
      <w:r>
        <w:rPr>
          <w:rFonts w:ascii="Times New Roman" w:hAnsi="Times New Roman" w:cs="Times New Roman"/>
          <w:sz w:val="24"/>
        </w:rPr>
        <w:t xml:space="preserve"> DALY averted and QALY gained.</w:t>
      </w:r>
    </w:p>
    <w:p w:rsidR="00723741" w:rsidRPr="006F0394" w:rsidRDefault="00723741" w:rsidP="00723741">
      <w:pPr>
        <w:pStyle w:val="Heading2-Manuscript"/>
        <w:spacing w:line="276" w:lineRule="auto"/>
      </w:pPr>
      <w:r w:rsidRPr="006F0394">
        <w:t>DALYs and QALYs</w:t>
      </w:r>
    </w:p>
    <w:p w:rsidR="00723741"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DALY is “a measure of the gap between the ideal health and the current health status”</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{"citationItems":[{"id":"ITEM-1","itemData":{"DOI":"10.1146/annurev.publhealth.23.100901.140513","ISSN":"0163-7525 (Print)","PMID":"11910057","abstract":"Health-adjusted life years (HALYs) are population health measures permitting morbidity and mortality to be simultaneously described within a single number. They are useful for overall estimates of burden of disease, comparisons of the relative impact of specific illnesses and conditions on communities, and in economic analyses. Quality-adjusted life years (QALYs) and disability-adjusted life years (DALYs) are types of HALYs whose original purposes were at variance. Their growing importance and the varied uptake of the methodology by different U.S. and international entities makes it useful to understand their differences as well as their similarities. A brief history of both measures is presented and methods for calculating them are reviewed. Methodological and ethical issues that have been raised in association with HALYs more generally are presented. Finally, we raise concerns about the practice of using different types of HALYs within different decision-making contexts and urge action that builds and clarifies this useful measurement field.","author":[{"dropping-particle":"","family":"Gold","given":"Marthe R","non-dropping-particle":"","parse-names":false,"suffix":""},{"dropping-particle":"","family":"Stevenson","given":"David","non-dropping-particle":"","parse-names":false,"suffix":""},{"dropping-particle":"","family":"Fryback","given":"Dennis G","non-dropping-particle":"","parse-names":false,"suffix":""}],"container-title":"Annual review of public health","id":"ITEM-1","issued":{"date-parts":[["2002"]]},"language":"eng","page":"115-134","publisher-place":"United States","title":"HALYs and QALYs and DALYs, Oh My: similarities and differences in summary measures of population Health.","type":"article-journal","volume":"23"},"uris":["http://www.mendeley.com/documents/?uuid=555dfd57-dc56-48ca-94d3-6d12660a9236"]}],"mendeley":{"formattedCitation":"&lt;sup&gt;6&lt;/sup&gt;","plainTextFormattedCitation":"6","previouslyFormattedCitation":"&lt;sup&gt;6&lt;/sup&gt;"},"properties":{"noteIndex":0},"schema":"https://github.com/citation-style-language/schema/raw/master/csl-citation.json"}</w:instrText>
      </w:r>
      <w:r>
        <w:rPr>
          <w:rFonts w:ascii="Times New Roman" w:hAnsi="Times New Roman" w:cs="Times New Roman"/>
          <w:sz w:val="24"/>
        </w:rPr>
        <w:fldChar w:fldCharType="separate"/>
      </w:r>
      <w:r w:rsidRPr="00EB53BE">
        <w:rPr>
          <w:rFonts w:ascii="Times New Roman" w:hAnsi="Times New Roman" w:cs="Times New Roman"/>
          <w:noProof/>
          <w:sz w:val="24"/>
          <w:vertAlign w:val="superscript"/>
        </w:rPr>
        <w:t>6</w:t>
      </w:r>
      <w:r>
        <w:rPr>
          <w:rFonts w:ascii="Times New Roman" w:hAnsi="Times New Roman" w:cs="Times New Roman"/>
          <w:sz w:val="24"/>
        </w:rPr>
        <w:fldChar w:fldCharType="end"/>
      </w:r>
      <w:r w:rsidRPr="006F0394">
        <w:rPr>
          <w:rFonts w:ascii="Times New Roman" w:hAnsi="Times New Roman" w:cs="Times New Roman"/>
          <w:sz w:val="24"/>
        </w:rPr>
        <w:t xml:space="preserve"> </w:t>
      </w:r>
      <w:r>
        <w:rPr>
          <w:rFonts w:ascii="Times New Roman" w:hAnsi="Times New Roman" w:cs="Times New Roman"/>
          <w:sz w:val="24"/>
        </w:rPr>
        <w:t>It</w:t>
      </w:r>
      <w:r w:rsidRPr="006F0394">
        <w:rPr>
          <w:rFonts w:ascii="Times New Roman" w:hAnsi="Times New Roman" w:cs="Times New Roman"/>
          <w:sz w:val="24"/>
        </w:rPr>
        <w:t xml:space="preserve"> focuses on the burden of a disease and health loss in the quality of life, due to combined effects of disability and premature mortality as a consequence of the disease. DALYs are based on the sum of years of life lost from premature death (YLLs) and years of life lived with disability (YLDs) (Figure 1)</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{"citationItems":[{"id":"ITEM-1","itemData":{"DOI":"10.1146/annurev.publhealth.23.100901.140513","ISSN":"0163-7525 (Print)","PMID":"11910057","abstract":"Health-adjusted life years (HALYs) are population health measures permitting morbidity and mortality to be simultaneously described within a single number. They are useful for overall estimates of burden of disease, comparisons of the relative impact of specific illnesses and conditions on communities, and in economic analyses. Quality-adjusted life years (QALYs) and disability-adjusted life years (DALYs) are types of HALYs whose original purposes were at variance. Their growing importance and the varied uptake of the methodology by different U.S. and international entities makes it useful to understand their differences as well as their similarities. A brief history of both measures is presented and methods for calculating them are reviewed. Methodological and ethical issues that have been raised in association with HALYs more generally are presented. Finally, we raise concerns about the practice of using different types of HALYs within different decision-making contexts and urge action that builds and clarifies this useful measurement field.","author":[{"dropping-particle":"","family":"Gold","given":"Marthe R","non-dropping-particle":"","parse-names":false,"suffix":""},{"dropping-particle":"","family":"Stevenson","given":"David","non-dropping-particle":"","parse-names":false,"suffix":""},{"dropping-particle":"","family":"Fryback","given":"Dennis G","non-dropping-particle":"","parse-names":false,"suffix":""}],"container-title":"Annual review of public health","id":"ITEM-1","issued":{"date-parts":[["2002"]]},"language":"eng","page":"115-134","publisher-place":"United States","title":"HALYs and QALYs and DALYs, Oh My: similarities and differences in summary measures of population Health.","type":"article-journal","volume":"23"},"uris":["http://www.mendeley.com/documents/?uuid=555dfd57-dc56-48ca-94d3-6d12660a9236"]}],"mendeley":{"formattedCitation":"&lt;sup&gt;6&lt;/sup&gt;","plainTextFormattedCitation":"6","previouslyFormattedCitation":"&lt;sup&gt;6&lt;/sup&gt;"},"properties":{"noteIndex":0},"schema":"https://github.com/citation-style-language/schema/raw/master/csl-citation.json"}</w:instrText>
      </w:r>
      <w:r>
        <w:rPr>
          <w:rFonts w:ascii="Times New Roman" w:hAnsi="Times New Roman" w:cs="Times New Roman"/>
          <w:sz w:val="24"/>
        </w:rPr>
        <w:fldChar w:fldCharType="separate"/>
      </w:r>
      <w:r w:rsidRPr="00EB53BE">
        <w:rPr>
          <w:rFonts w:ascii="Times New Roman" w:hAnsi="Times New Roman" w:cs="Times New Roman"/>
          <w:noProof/>
          <w:sz w:val="24"/>
          <w:vertAlign w:val="superscript"/>
        </w:rPr>
        <w:t>6</w:t>
      </w:r>
      <w:r>
        <w:rPr>
          <w:rFonts w:ascii="Times New Roman" w:hAnsi="Times New Roman" w:cs="Times New Roman"/>
          <w:sz w:val="24"/>
        </w:rPr>
        <w:fldChar w:fldCharType="end"/>
      </w:r>
      <w:r w:rsidRPr="006F0394">
        <w:rPr>
          <w:rFonts w:ascii="Times New Roman" w:hAnsi="Times New Roman" w:cs="Times New Roman"/>
          <w:sz w:val="24"/>
        </w:rPr>
        <w:t xml:space="preserve"> In contrast, QALY measures the quality of life in health </w:t>
      </w:r>
      <w:r w:rsidRPr="006F0394">
        <w:rPr>
          <w:rFonts w:ascii="Times New Roman" w:hAnsi="Times New Roman" w:cs="Times New Roman"/>
          <w:sz w:val="24"/>
        </w:rPr>
        <w:lastRenderedPageBreak/>
        <w:t>gain. It assesses the health state of a person in which the benefits, in terms of length of life, are adjusted to reflect the quality of life</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{"citationItems":[{"id":"ITEM-1","itemData":{"DOI":"10.1146/annurev.publhealth.23.100901.140513","ISSN":"0163-7525 (Print)","PMID":"11910057","abstract":"Health-adjusted life years (HALYs) are population health measures permitting morbidity and mortality to be simultaneously described within a single number. They are useful for overall estimates of burden of disease, comparisons of the relative impact of specific illnesses and conditions on communities, and in economic analyses. Quality-adjusted life years (QALYs) and disability-adjusted life years (DALYs) are types of HALYs whose original purposes were at variance. Their growing importance and the varied uptake of the methodology by different U.S. and international entities makes it useful to understand their differences as well as their similarities. A brief history of both measures is presented and methods for calculating them are reviewed. Methodological and ethical issues that have been raised in association with HALYs more generally are presented. Finally, we raise concerns about the practice of using different types of HALYs within different decision-making contexts and urge action that builds and clarifies this useful measurement field.","author":[{"dropping-particle":"","family":"Gold","given":"Marthe R","non-dropping-particle":"","parse-names":false,"suffix":""},{"dropping-particle":"","family":"Stevenson","given":"David","non-dropping-particle":"","parse-names":false,"suffix":""},{"dropping-particle":"","family":"Fryback","given":"Dennis G","non-dropping-particle":"","parse-names":false,"suffix":""}],"container-title":"Annual review of public health","id":"ITEM-1","issued":{"date-parts":[["2002"]]},"language":"eng","page":"115-134","publisher-place":"United States","title":"HALYs and QALYs and DALYs, Oh My: similarities and differences in summary measures of population Health.","type":"article-journal","volume":"23"},"uris":["http://www.mendeley.com/documents/?uuid=555dfd57-dc56-48ca-94d3-6d12660a9236"]}],"mendeley":{"formattedCitation":"&lt;sup&gt;6&lt;/sup&gt;","plainTextFormattedCitation":"6","previouslyFormattedCitation":"&lt;sup&gt;6&lt;/sup&gt;"},"properties":{"noteIndex":0},"schema":"https://github.com/citation-style-language/schema/raw/master/csl-citation.json"}</w:instrText>
      </w:r>
      <w:r>
        <w:rPr>
          <w:rFonts w:ascii="Times New Roman" w:hAnsi="Times New Roman" w:cs="Times New Roman"/>
          <w:sz w:val="24"/>
        </w:rPr>
        <w:fldChar w:fldCharType="separate"/>
      </w:r>
      <w:r w:rsidRPr="00EB53BE">
        <w:rPr>
          <w:rFonts w:ascii="Times New Roman" w:hAnsi="Times New Roman" w:cs="Times New Roman"/>
          <w:noProof/>
          <w:sz w:val="24"/>
          <w:vertAlign w:val="superscript"/>
        </w:rPr>
        <w:t>6</w:t>
      </w:r>
      <w:r>
        <w:rPr>
          <w:rFonts w:ascii="Times New Roman" w:hAnsi="Times New Roman" w:cs="Times New Roman"/>
          <w:sz w:val="24"/>
        </w:rPr>
        <w:fldChar w:fldCharType="end"/>
      </w:r>
      <w:r w:rsidRPr="006F0394">
        <w:rPr>
          <w:rFonts w:ascii="Times New Roman" w:hAnsi="Times New Roman" w:cs="Times New Roman"/>
          <w:sz w:val="24"/>
        </w:rPr>
        <w:t xml:space="preserve"> If a person lives in perfect health, QALYs will be equal to life-years lived. However, due to a disease, quality of life can be affected, and a reduction of quality needs to be subtracted from the life-years depending on the severity of the disease. QALYs are calculated by multiplying the health-related quality of life (</w:t>
      </w:r>
      <w:proofErr w:type="spellStart"/>
      <w:r w:rsidRPr="006F0394">
        <w:rPr>
          <w:rFonts w:ascii="Times New Roman" w:hAnsi="Times New Roman" w:cs="Times New Roman"/>
          <w:sz w:val="24"/>
        </w:rPr>
        <w:t>HRQoL</w:t>
      </w:r>
      <w:proofErr w:type="spellEnd"/>
      <w:r w:rsidRPr="006F0394">
        <w:rPr>
          <w:rFonts w:ascii="Times New Roman" w:hAnsi="Times New Roman" w:cs="Times New Roman"/>
          <w:sz w:val="24"/>
        </w:rPr>
        <w:t xml:space="preserve">) utilities of a specific health state, with the duration of </w:t>
      </w:r>
      <w:r>
        <w:rPr>
          <w:rFonts w:ascii="Times New Roman" w:hAnsi="Times New Roman" w:cs="Times New Roman"/>
          <w:sz w:val="24"/>
        </w:rPr>
        <w:t>that</w:t>
      </w:r>
      <w:r w:rsidRPr="006F0394">
        <w:rPr>
          <w:rFonts w:ascii="Times New Roman" w:hAnsi="Times New Roman" w:cs="Times New Roman"/>
          <w:sz w:val="24"/>
        </w:rPr>
        <w:t xml:space="preserve"> health state (Figure 1)</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{"citationItems":[{"id":"ITEM-1","itemData":{"DOI":"10.1146/annurev.publhealth.23.100901.140513","ISSN":"0163-7525 (Print)","PMID":"11910057","abstract":"Health-adjusted life years (HALYs) are population health measures permitting morbidity and mortality to be simultaneously described within a single number. They are useful for overall estimates of burden of disease, comparisons of the relative impact of specific illnesses and conditions on communities, and in economic analyses. Quality-adjusted life years (QALYs) and disability-adjusted life years (DALYs) are types of HALYs whose original purposes were at variance. Their growing importance and the varied uptake of the methodology by different U.S. and international entities makes it useful to understand their differences as well as their similarities. A brief history of both measures is presented and methods for calculating them are reviewed. Methodological and ethical issues that have been raised in association with HALYs more generally are presented. Finally, we raise concerns about the practice of using different types of HALYs within different decision-making contexts and urge action that builds and clarifies this useful measurement field.","author":[{"dropping-particle":"","family":"Gold","given":"Marthe R","non-dropping-particle":"","parse-names":false,"suffix":""},{"dropping-particle":"","family":"Stevenson","given":"David","non-dropping-particle":"","parse-names":false,"suffix":""},{"dropping-particle":"","family":"Fryback","given":"Dennis G","non-dropping-particle":"","parse-names":false,"suffix":""}],"container-title":"Annual review of public health","id":"ITEM-1","issued":{"date-parts":[["2002"]]},"language":"eng","page":"115-134","publisher-place":"United States","title":"HALYs and QALYs and DALYs, Oh My: similarities and differences in summary measures of population Health.","type":"article-journal","volume":"23"},"uris":["http://www.mendeley.com/documents/?uuid=555dfd57-dc56-48ca-94d3-6d12660a9236"]}],"mendeley":{"formattedCitation":"&lt;sup&gt;6&lt;/sup&gt;","plainTextFormattedCitation":"6","previouslyFormattedCitation":"&lt;sup&gt;6&lt;/sup&gt;"},"properties":{"noteIndex":0},"schema":"https://github.com/citation-style-language/schema/raw/master/csl-citation.json"}</w:instrText>
      </w:r>
      <w:r>
        <w:rPr>
          <w:rFonts w:ascii="Times New Roman" w:hAnsi="Times New Roman" w:cs="Times New Roman"/>
          <w:sz w:val="24"/>
        </w:rPr>
        <w:fldChar w:fldCharType="separate"/>
      </w:r>
      <w:r w:rsidRPr="00EB53BE">
        <w:rPr>
          <w:rFonts w:ascii="Times New Roman" w:hAnsi="Times New Roman" w:cs="Times New Roman"/>
          <w:noProof/>
          <w:sz w:val="24"/>
          <w:vertAlign w:val="superscript"/>
        </w:rPr>
        <w:t>6</w:t>
      </w:r>
      <w:r>
        <w:rPr>
          <w:rFonts w:ascii="Times New Roman" w:hAnsi="Times New Roman" w:cs="Times New Roman"/>
          <w:sz w:val="24"/>
        </w:rPr>
        <w:fldChar w:fldCharType="end"/>
      </w:r>
      <w:r w:rsidRPr="006F0394">
        <w:rPr>
          <w:rFonts w:ascii="Times New Roman" w:hAnsi="Times New Roman" w:cs="Times New Roman"/>
          <w:sz w:val="24"/>
        </w:rPr>
        <w:t xml:space="preserve"> In this study, the impact of a screening strategy on DALYs and QALYs (i.e. how many DALYs can be averted or QALYs gained by the intervention) is measured as the difference between a situation with and without screening (Appendix 1, Figure 1)</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{"citationItems":[{"id":"ITEM-1","itemData":{"DOI":"10.1093/heapol/16.3.326","ISSN":"0268-1080 (Print)","PMID":"11527874","abstract":"Disability adjusted life years (DALYs) are the sum of the present value of future years of lifetime lost through premature mortality, and the present value of years of future lifetime adjusted for the average severity (frequency and intensity) of any mental or physical disability caused by a disease or injury. They have been used as an outcome indicator in micro economic evaluations as well as sectoral prioritization exercises using league tables of cost-effectiveness. However, many of the current analyses are not comparable or transferable because either the assumptions used differ or are unclear, and because results are not presented in a way that allows researchers or policy-makers to re-calculate and re-interpret findings for use in an alternative context. However, at times there have also been miscalculations. This may happen either because evaluators disagree with the assumptions behind DALYs or because the methods of calculation have not been set out clearly. This paper shows how to calculate DALYs for cost-effectiveness analysis using a worked example. It also shows the impact of changing the age weighting and discount rates on estimates of cost-effectiveness, and suggests a set of minimum reporting criteria for using DALYs in cost-effectiveness analysis. Finally, readers are introduced briefly to a selected literature arguing for and against the use of DALYs.","author":[{"dropping-particle":"","family":"Fox-Rushby","given":"J A","non-dropping-particle":"","parse-names":false,"suffix":""},{"dropping-particle":"","family":"Hanson","given":"K","non-dropping-particle":"","parse-names":false,"suffix":""}],"container-title":"Health policy and planning","id":"ITEM-1","issue":"3","issued":{"date-parts":[["2001","9"]]},"language":"eng","page":"326-331","publisher-place":"England","title":"Calculating and presenting disability adjusted life years (DALYs) in cost-effectiveness analysis.","type":"article-journal","volume":"16"},"uris":["http://www.mendeley.com/documents/?uuid=5e4d7830-347f-4744-90c4-c5c42019daac"]}],"mendeley":{"formattedCitation":"&lt;sup&gt;12&lt;/sup&gt;","plainTextFormattedCitation":"12","previouslyFormattedCitation":"&lt;sup&gt;12&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12</w:t>
      </w:r>
      <w:r>
        <w:rPr>
          <w:rFonts w:ascii="Times New Roman" w:hAnsi="Times New Roman" w:cs="Times New Roman"/>
          <w:sz w:val="24"/>
        </w:rPr>
        <w:fldChar w:fldCharType="end"/>
      </w:r>
    </w:p>
    <w:p w:rsidR="00723741" w:rsidRPr="006F0394" w:rsidRDefault="00723741" w:rsidP="00723741">
      <w:pPr>
        <w:ind w:left="360"/>
        <w:jc w:val="both"/>
        <w:rPr>
          <w:rFonts w:ascii="Times New Roman" w:hAnsi="Times New Roman" w:cs="Times New Roman"/>
          <w:sz w:val="24"/>
        </w:rPr>
      </w:pPr>
    </w:p>
    <w:p w:rsidR="00723741" w:rsidRPr="006F0394" w:rsidRDefault="00723741" w:rsidP="00723741">
      <w:pPr>
        <w:pStyle w:val="Heading2-Manuscript"/>
        <w:spacing w:line="276" w:lineRule="auto"/>
      </w:pPr>
      <w:r w:rsidRPr="006F0394">
        <w:t>Literature review</w:t>
      </w:r>
    </w:p>
    <w:p w:rsidR="00723741" w:rsidRPr="006F0394"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 xml:space="preserve">We performed a literature review to identify studies estimating disability weights  or </w:t>
      </w:r>
      <w:r>
        <w:rPr>
          <w:rFonts w:ascii="Times New Roman" w:hAnsi="Times New Roman" w:cs="Times New Roman"/>
          <w:sz w:val="24"/>
        </w:rPr>
        <w:t>health-related quality of life (</w:t>
      </w:r>
      <w:proofErr w:type="spellStart"/>
      <w:r>
        <w:rPr>
          <w:rFonts w:ascii="Times New Roman" w:hAnsi="Times New Roman" w:cs="Times New Roman"/>
          <w:sz w:val="24"/>
        </w:rPr>
        <w:t>HRQoL</w:t>
      </w:r>
      <w:proofErr w:type="spellEnd"/>
      <w:r>
        <w:rPr>
          <w:rFonts w:ascii="Times New Roman" w:hAnsi="Times New Roman" w:cs="Times New Roman"/>
          <w:sz w:val="24"/>
        </w:rPr>
        <w:t>)</w:t>
      </w:r>
      <w:r w:rsidRPr="006F0394">
        <w:rPr>
          <w:rFonts w:ascii="Times New Roman" w:hAnsi="Times New Roman" w:cs="Times New Roman"/>
          <w:sz w:val="24"/>
        </w:rPr>
        <w:t xml:space="preserve"> utilities</w:t>
      </w:r>
      <w:r>
        <w:rPr>
          <w:rFonts w:ascii="Times New Roman" w:hAnsi="Times New Roman" w:cs="Times New Roman"/>
          <w:sz w:val="24"/>
        </w:rPr>
        <w:t xml:space="preserve"> </w:t>
      </w:r>
      <w:r w:rsidRPr="006F0394">
        <w:rPr>
          <w:rFonts w:ascii="Times New Roman" w:hAnsi="Times New Roman" w:cs="Times New Roman"/>
          <w:sz w:val="24"/>
        </w:rPr>
        <w:t>related to</w:t>
      </w:r>
      <w:r>
        <w:rPr>
          <w:rFonts w:ascii="Times New Roman" w:hAnsi="Times New Roman" w:cs="Times New Roman"/>
          <w:sz w:val="24"/>
        </w:rPr>
        <w:t xml:space="preserve"> screening,</w:t>
      </w:r>
      <w:r w:rsidRPr="006F0394">
        <w:rPr>
          <w:rFonts w:ascii="Times New Roman" w:hAnsi="Times New Roman" w:cs="Times New Roman"/>
          <w:sz w:val="24"/>
        </w:rPr>
        <w:t xml:space="preserve"> </w:t>
      </w:r>
      <w:r>
        <w:rPr>
          <w:rFonts w:ascii="Times New Roman" w:hAnsi="Times New Roman" w:cs="Times New Roman"/>
          <w:sz w:val="24"/>
        </w:rPr>
        <w:t xml:space="preserve">breast cancer and its consequences. </w:t>
      </w:r>
      <w:r w:rsidRPr="006F0394">
        <w:rPr>
          <w:rFonts w:ascii="Times New Roman" w:hAnsi="Times New Roman" w:cs="Times New Roman"/>
          <w:sz w:val="24"/>
        </w:rPr>
        <w:t>Since 2010, the Global Burden of Disease Project (GBD)</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{"citationItems":[{"id":"ITEM-1","itemData":{"DOI":"10.1016/S0140-6736(12)61680-8","ISSN":"1474-547X (Electronic)","PMID":"23245605","abstract":"BACKGROUND: Measurement of the global burden of disease with disability-adjusted  life-years (DALYs) requires disability weights that quantify health losses for all non-fatal consequences of disease and injury. There has been extensive debate about a range of conceptual and methodological issues concerning the definition and measurement of these weights. Our primary objective was a comprehensive re-estimation of disability weights for the Global Burden of Disease Study 2010 through a large-scale empirical investigation in which judgments about health losses associated with many causes of disease and injury were elicited from the general public in diverse communities through a new, standardised approach. METHODS: We surveyed respondents in two ways: household surveys of adults aged 18 years or older (face-to-face interviews in Bangladesh, Indonesia, Peru, and Tanzania; telephone interviews in the USA) between Oct 28, 2009, and June 23, 2010; and an open-access web-based survey between July 26, 2010, and May 16, 2011. The surveys used paired comparison questions, in which respondents considered two hypothetical individuals with different, randomly selected health states and indicated which person they regarded as healthier. The web survey added questions about population health equivalence, which compared the overall health benefits of different life-saving or disease-prevention programmes. We analysed paired comparison responses with probit regression analysis on all 220 unique states in the study. We used results from the population health equivalence responses to anchor the results from the paired comparisons on the disability weight scale from 0 (implying no loss of health) to 1 (implying a health loss equivalent to death). Additionally, we compared new disability weights with those used in WHO's most recent update of the Global Burden of Disease Study for 2004. FINDINGS: 13,902 individuals participated in household surveys and 16,328 in the web survey. Analysis of paired comparison responses indicated a high degree of consistency across surveys: correlations between individual survey results and results from analysis of the pooled dataset were 0.9 or higher in all surveys except in Bangladesh (r=0.75). Most of the 220 disability weights were located on the mild end of the severity scale, with 58 (26%) having weights below 0.05. Five (11%) states had weights below 0.01, such as mild anaemia, mild hearing or vision loss, and secondary infertility. The …","author":[{"dropping-particle":"","family":"Salomon","given":"Joshua A","non-dropping-particle":"","parse-names":false,"suffix":""},{"dropping-particle":"","family":"Vos","given":"Theo","non-dropping-particle":"","parse-names":false,"suffix":""},{"dropping-particle":"","family":"Hogan","given":"Daniel R","non-dropping-particle":"","parse-names":false,"suffix":""},{"dropping-particle":"","family":"Gagnon","given":"Michael","non-dropping-particle":"","parse-names":false,"suffix":""},{"dropping-particle":"","family":"Naghavi","given":"Mohsen","non-dropping-particle":"","parse-names":false,"suffix":""},{"dropping-particle":"","family":"Mokdad","given":"Ali","non-dropping-particle":"","parse-names":false,"suffix":""},{"dropping-particle":"","family":"Begum","given":"Nazma","non-dropping-particle":"","parse-names":false,"suffix":""},{"dropping-particle":"","family":"Shah","given":"Razibuzzaman","non-dropping-particle":"","parse-names":false,"suffix":""},{"dropping-particle":"","family":"Karyana","given":"Muhammad","non-dropping-particle":"","parse-names":false,"suffix":""},{"dropping-particle":"","family":"Kosen","given":"Soewarta","non-dropping-particle":"","parse-names":false,"suffix":""},{"dropping-particle":"","family":"Farje","given":"Mario Reyna","non-dropping-particle":"","parse-names":false,"suffix":""},{"dropping-particle":"","family":"Moncada","given":"Gilberto","non-dropping-particle":"","parse-names":false,"suffix":""},{"dropping-particle":"","family":"Dutta","given":"Arup","non-dropping-particle":"","parse-names":false,"suffix":""},{"dropping-particle":"","family":"Sazawal","given":"Sunil","non-dropping-particle":"","parse-names":false,"suffix":""},{"dropping-particle":"","family":"Dyer","given":"Andrew","non-dropping-particle":"","parse-names":false,"suffix":""},{"dropping-particle":"","family":"Seiler","given":"Jason","non-dropping-particle":"","parse-names":false,"suffix":""},{"dropping-particle":"","family":"Aboyans","given":"Victor","non-dropping-particle":"","parse-names":false,"suffix":""},{"dropping-particle":"","family":"Baker","given":"Lesley","non-dropping-particle":"","parse-names":false,"suffix":""},{"dropping-particle":"","family":"Baxter","given":"Amanda","non-dropping-particle":"","parse-names":false,"suffix":""},{"dropping-particle":"","family":"Benjamin","given":"Emelia J","non-dropping-particle":"","parse-names":false,"suffix":""},{"dropping-particle":"","family":"Bhalla","given":"Kavi","non-dropping-particle":"","parse-names":false,"suffix":""},{"dropping-particle":"","family":"Abdulhak","given":"Aref","non-dropping-particle":"Bin","parse-names":false,"suffix":""},{"dropping-particle":"","family":"Blyth","given":"Fiona","non-dropping-particle":"","parse-names":false,"suffix":""},{"dropping-particle":"","family":"Bourne","given":"Rupert","non-dropping-particle":"","parse-names":false,"suffix":""},{"dropping-particle":"","family":"Braithwaite","given":"Tasanee","non-dropping-particle":"","parse-names":false,"suffix":""},{"dropping-particle":"","family":"Brooks","given":"Peter","non-dropping-particle":"","parse-names":false,"suffix":""},{"dropping-particle":"","family":"Brugha","given":"Traolach S","non-dropping-particle":"","parse-names":false,"suffix":""},{"dropping-particle":"","family":"Bryan-Hancock","given":"Claire","non-dropping-particle":"","parse-names":false,"suffix":""},{"dropping-particle":"","family":"Buchbinder","given":"Rachelle","non-dropping-particle":"","parse-names":false,"suffix":""},{"dropping-particle":"","family":"Burney","given":"Peter","non-dropping-particle":"","parse-names":false,"suffix":""},{"dropping-particle":"","family":"Calabria","given":"Bianca","non-dropping-particle":"","parse-names":false,"suffix":""},{"dropping-particle":"","family":"Chen","given":"Honglei","non-dropping-particle":"","parse-names":false,"suffix":""},{"dropping-particle":"","family":"Chugh","given":"Sumeet S","non-dropping-particle":"","parse-names":false,"suffix":""},{"dropping-particle":"","family":"Cooley","given":"Rebecca","non-dropping-particle":"","parse-names":false,"suffix":""},{"dropping-particle":"","family":"Criqui","given":"Michael H","non-dropping-particle":"","parse-names":false,"suffix":""},{"dropping-particle":"","family":"Cross","given":"Marita","non-dropping-particle":"","parse-names":false,"suffix":""},{"dropping-particle":"","family":"Dabhadkar","given":"Kaustubh C","non-dropping-particle":"","parse-names":false,"suffix":""},{"dropping-particle":"","family":"Dahodwala","given":"Nabila","non-dropping-particle":"","parse-names":false,"suffix":""},{"dropping-particle":"","family":"Davis","given":"Adrian","non-dropping-particle":"","parse-names":false,"suffix":""},{"dropping-particle":"","family":"Degenhardt","given":"Louisa","non-dropping-particle":"","parse-names":false,"suffix":""},{"dropping-particle":"","family":"Diaz-Torne","given":"Cesar","non-dropping-particle":"","parse-names":false,"suffix":""},{"dropping-particle":"","family":"Dorsey","given":"E Ray","non-dropping-particle":"","parse-names":false,"suffix":""},{"dropping-particle":"","family":"Driscoll","given":"Tim","non-dropping-particle":"","parse-names":false,"suffix":""},{"dropping-particle":"","family":"Edmond","given":"Karen","non-dropping-particle":"","parse-names":false,"suffix":""},{"dropping-particle":"","family":"Elbaz","given":"Alexis","non-dropping-particle":"","parse-names":false,"suffix":""},{"dropping-particle":"","family":"Ezzati","given":"Majid","non-dropping-particle":"","parse-names":false,"suffix":""},{"dropping-particle":"","family":"Feigin","given":"Valery","non-dropping-particle":"","parse-names":false,"suffix":""},{"dropping-particle":"","family":"Ferri","given":"Cleusa P","non-dropping-particle":"","parse-names":false,"suffix":""},{"dropping-particle":"","family":"Flaxman","given":"Abraham D","non-dropping-particle":"","parse-names":false,"suffix":""},{"dropping-particle":"","family":"Flood","given":"Louise","non-dropping-particle":"","parse-names":false,"suffix":""},{"dropping-particle":"","family":"Fransen","given":"Marlene","non-dropping-particle":"","parse-names":false,"suffix":""},{"dropping-particle":"","family":"Fuse","given":"Kana","non-dropping-particle":"","parse-names":false,"suffix":""},{"dropping-particle":"","family":"Gabbe","given":"Belinda J","non-dropping-particle":"","parse-names":false,"suffix":""},{"dropping-particle":"","family":"Gillum","given":"Richard F","non-dropping-particle":"","parse-names":false,"suffix":""},{"dropping-particle":"","family":"Haagsma","given":"Juanita","non-dropping-particle":"","parse-names":false,"suffix":""},{"dropping-particle":"","family":"Harrison","given":"James E","non-dropping-particle":"","parse-names":false,"suffix":""},{"dropping-particle":"","family":"Havmoeller","given":"Rasmus","non-dropping-particle":"","parse-names":false,"suffix":""},{"dropping-particle":"","family":"Hay","given":"Roderick J","non-dropping-particle":"","parse-names":false,"suffix":""},{"dropping-particle":"","family":"Hel-Baqui","given":"Abdullah","non-dropping-particle":"","parse-names":false,"suffix":""},{"dropping-particle":"","family":"Hoek","given":"Hans W","non-dropping-particle":"","parse-names":false,"suffix":""},{"dropping-particle":"","family":"Hoffman","given":"Howard","non-dropping-particle":"","parse-names":false,"suffix":""},{"dropping-particle":"","family":"Hogeland","given":"Emily","non-dropping-particle":"","parse-names":false,"suffix":""},{"dropping-particle":"","family":"Hoy","given":"Damian","non-dropping-particle":"","parse-names":false,"suffix":""},{"dropping-particle":"","family":"Jarvis","given":"Deborah","non-dropping-particle":"","parse-names":false,"suffix":""},{"dropping-particle":"","family":"Karthikeyan","given":"Ganesan","non-dropping-particle":"","parse-names":false,"suffix":""},{"dropping-particle":"","family":"Knowlton","given":"Lisa Marie","non-dropping-particle":"","parse-names":false,"suffix":""},{"dropping-particle":"","family":"Lathlean","given":"Tim","non-dropping-particle":"","parse-names":false,"suffix":""},{"dropping-particle":"","family":"Leasher","given":"Janet L","non-dropping-particle":"","parse-names":false,"suffix":""},{"dropping-particle":"","family":"Lim","given":"Stephen S","non-dropping-particle":"","parse-names":false,"suffix":""},{"dropping-particle":"","family":"Lipshultz","given":"Steven E","non-dropping-particle":"","parse-names":false,"suffix":""},{"dropping-particle":"","family":"Lopez","given":"Alan D","non-dropping-particle":"","parse-names":false,"suffix":""},{"dropping-particle":"","family":"Lozano","given":"Rafael","non-dropping-particle":"","parse-names":false,"suffix":""},{"dropping-particle":"","family":"Lyons","given":"Ronan","non-dropping-particle":"","parse-names":false,"suffix":""},{"dropping-particle":"","family":"Malekzadeh","given":"Reza","non-dropping-particle":"","parse-names":false,"suffix":""},{"dropping-particle":"","family":"Marcenes","given":"Wagner","non-dropping-particle":"","parse-names":false,"suffix":""},{"dropping-particle":"","family":"March","given":"Lyn","non-dropping-particle":"","parse-names":false,"suffix":""},{"dropping-particle":"","family":"Margolis","given":"David J","non-dropping-particle":"","parse-names":false,"suffix":""},{"dropping-particle":"","family":"McGill","given":"Neil","non-dropping-particle":"","parse-names":false,"suffix":""},{"dropping-particle":"","family":"McGrath","given":"John","non-dropping-particle":"","parse-names":false,"suffix":""},{"dropping-particle":"","family":"Mensah","given":"George A","non-dropping-particle":"","parse-names":false,"suffix":""},{"dropping-particle":"","family":"Meyer","given":"Ana-Claire","non-dropping-particle":"","parse-names":false,"suffix":""},{"dropping-particle":"","family":"Michaud","given":"Catherine","non-dropping-particle":"","parse-names":false,"suffix":""},{"dropping-particle":"","family":"Moran","given":"Andrew","non-dropping-particle":"","parse-names":false,"suffix":""},{"dropping-particle":"","family":"Mori","given":"Rintaro","non-dropping-particle":"","parse-names":false,"suffix":""},{"dropping-particle":"","family":"Murdoch","given":"Michele E","non-dropping-particle":"","parse-names":false,"suffix":""},{"dropping-particle":"","family":"Naldi","given":"Luigi","non-dropping-particle":"","parse-names":false,"suffix":""},{"dropping-particle":"","family":"Newton","given":"Charles R","non-dropping-particle":"","parse-names":false,"suffix":""},{"dropping-particle":"","family":"Norman","given":"Rosana","non-dropping-particle":"","parse-names":false,"suffix":""},{"dropping-particle":"","family":"Omer","given":"Saad B","non-dropping-particle":"","parse-names":false,"suffix":""},{"dropping-particle":"","family":"Osborne","given":"Richard","non-dropping-particle":"","parse-names":false,"suffix":""},{"dropping-particle":"","family":"Pearce","given":"Neil","non-dropping-particle":"","parse-names":false,"suffix":""},{"dropping-particle":"","family":"Perez-Ruiz","given":"Fernando","non-dropping-particle":"","parse-names":false,"suffix":""},{"dropping-particle":"","family":"Perico","given":"Norberto","non-dropping-particle":"","parse-names":false,"suffix":""},{"dropping-particle":"","family":"Pesudovs","given":"Konrad","non-dropping-particle":"","parse-names":false,"suffix":""},{"dropping-particle":"","family":"Phillips","given":"David","non-dropping-particle":"","parse-names":false,"suffix":""},{"dropping-particle":"","family":"Pourmalek","given":"Farshad","non-dropping-particle":"","parse-names":false,"suffix":""},{"dropping-particle":"","family":"Prince","given":"Martin","non-dropping-particle":"","parse-names":false,"suffix":""},{"dropping-particle":"","family":"Rehm","given":"Jurgen T","non-dropping-particle":"","parse-names":false,"suffix":""},{"dropping-particle":"","family":"Remuzzi","given":"Guiseppe","non-dropping-particle":"","parse-names":false,"suffix":""},{"dropping-particle":"","family":"Richardson","given":"Kathryn","non-dropping-particle":"","parse-names":false,"suffix":""},{"dropping-particle":"","family":"Room","given":"Robin","non-dropping-particle":"","parse-names":false,"suffix":""},{"dropping-particle":"","family":"Saha","given":"Sukanta","non-dropping-particle":"","parse-names":false,"suffix":""},{"dropping-particle":"","family":"Sampson","given":"Uchechukwu","non-dropping-particle":"","parse-names":false,"suffix":""},{"dropping-particle":"","family":"Sanchez-Riera","given":"Lidia","non-dropping-particle":"","parse-names":false,"suffix":""},{"dropping-particle":"","family":"Segui-Gomez","given":"Maria","non-dropping-particle":"","parse-names":false,"suffix":""},{"dropping-particle":"","family":"Shahraz","given":"Saeid","non-dropping-particle":"","parse-names":false,"suffix":""},{"dropping-particle":"","family":"Shibuya","given":"Kenji","non-dropping-particle":"","parse-names":false,"suffix":""},{"dropping-particle":"","family":"Singh","given":"David","non-dropping-particle":"","parse-names":false,"suffix":""},{"dropping-particle":"","family":"Sliwa","given":"Karen","non-dropping-particle":"","parse-names":false,"suffix":""},{"dropping-particle":"","family":"Smith","given":"Emma","non-dropping-particle":"","parse-names":false,"suffix":""},{"dropping-particle":"","family":"Soerjomataram","given":"Isabelle","non-dropping-particle":"","parse-names":false,"suffix":""},{"dropping-particle":"","family":"Steiner","given":"Timothy","non-dropping-particle":"","parse-names":false,"suffix":""},{"dropping-particle":"","family":"Stolk","given":"Wilma A","non-dropping-particle":"","parse-names":false,"suffix":""},{"dropping-particle":"","family":"Stovner","given":"Lars Jacob","non-dropping-particle":"","parse-names":false,"suffix":""},{"dropping-particle":"","family":"Sudfeld","given":"Christopher","non-dropping-particle":"","parse-names":false,"suffix":""},{"dropping-particle":"","family":"Taylor","given":"Hugh R","non-dropping-particle":"","parse-names":false,"suffix":""},{"dropping-particle":"","family":"Tleyjeh","given":"Imad M","non-dropping-particle":"","parse-names":false,"suffix":""},{"dropping-particle":"","family":"Werf","given":"Marieke J","non-dropping-particle":"van der","parse-names":false,"suffix":""},{"dropping-particle":"","family":"Watson","given":"Wendy L","non-dropping-particle":"","parse-names":false,"suffix":""},{"dropping-particle":"","family":"Weatherall","given":"David J","non-dropping-particle":"","parse-names":false,"suffix":""},{"dropping-particle":"","family":"Weintraub","given":"Robert","non-dropping-particle":"","parse-names":false,"suffix":""},{"dropping-particle":"","family":"Weisskopf","given":"Marc G","non-dropping-particle":"","parse-names":false,"suffix":""},{"dropping-particle":"","family":"Whiteford","given":"Harvey","non-dropping-particle":"","parse-names":false,"suffix":""},{"dropping-particle":"","family":"Wilkinson","given":"James D","non-dropping-particle":"","parse-names":false,"suffix":""},{"dropping-particle":"","family":"Woolf","given":"Anthony D","non-dropping-particle":"","parse-names":false,"suffix":""},{"dropping-particle":"","family":"Zheng","given":"Zhi-Jie","non-dropping-particle":"","parse-names":false,"suffix":""},{"dropping-particle":"","family":"Murray","given":"Christopher J L","non-dropping-particle":"","parse-names":false,"suffix":""},{"dropping-particle":"","family":"Jonas","given":"Jost B","non-dropping-particle":"","parse-names":false,"suffix":""}],"container-title":"Lancet (London, England)","id":"ITEM-1","issue":"9859","issued":{"date-parts":[["2012","12"]]},"language":"eng","page":"2129-2143","publisher-place":"England","title":"Common values in assessing health outcomes from disease and injury: disability weights measurement study for the Global Burden of Disease Study 2010.","type":"article-journal","volume":"380"},"uris":["http://www.mendeley.com/documents/?uuid=78d92915-f240-4608-8fb7-86cc16026303"]}],"mendeley":{"formattedCitation":"&lt;sup&gt;13&lt;/sup&gt;","plainTextFormattedCitation":"13","previouslyFormattedCitation":"&lt;sup&gt;13&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13</w:t>
      </w:r>
      <w:r>
        <w:rPr>
          <w:rFonts w:ascii="Times New Roman" w:hAnsi="Times New Roman" w:cs="Times New Roman"/>
          <w:sz w:val="24"/>
        </w:rPr>
        <w:fldChar w:fldCharType="end"/>
      </w:r>
      <w:r w:rsidRPr="006F0394">
        <w:rPr>
          <w:rFonts w:ascii="Times New Roman" w:hAnsi="Times New Roman" w:cs="Times New Roman"/>
          <w:sz w:val="24"/>
        </w:rPr>
        <w:t xml:space="preserve"> has develop</w:t>
      </w:r>
      <w:r>
        <w:rPr>
          <w:rFonts w:ascii="Times New Roman" w:hAnsi="Times New Roman" w:cs="Times New Roman"/>
          <w:sz w:val="24"/>
        </w:rPr>
        <w:t xml:space="preserve">ed a new standardized approach </w:t>
      </w:r>
      <w:r w:rsidRPr="006F0394">
        <w:rPr>
          <w:rFonts w:ascii="Times New Roman" w:hAnsi="Times New Roman" w:cs="Times New Roman"/>
          <w:sz w:val="24"/>
        </w:rPr>
        <w:t>and composed a list of disability weights to allow overall comparisons across regions and countries. In short, they defined cancer-specific health states, and calculated the values based on household surveys and a web-based survey. Salomon et al.</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{"citationItems":[{"id":"ITEM-1","itemData":{"DOI":"10.1016/S2214-109X(15)00069-8","ISSN":"2214-109X (Electronic)","PMID":"26475018","abstract":"BACKGROUND: The Global Burden of Disease (GBD) study assesses health losses from  diseases, injuries, and risk factors using disability-adjusted life-years, which need a set of disability weights to quantify health levels associated with non-fatal outcomes. The objective of this study was to estimate disability weights for the GBD 2013 study. METHODS: We analysed data from new web-based surveys of participants aged 18-65 years, completed in four European countries (Hungary, Italy, the Netherlands, and Sweden) between Sept 23, 2013, and Nov 11, 2013, combined with data previously collected in the GBD 2010 disability weights measurement study. Surveys used paired comparison questions for which respondents considered two hypothetical individuals with different health states and specified which person they deemed healthier than the other. These surveys covered 183 health states pertinent to GBD 2013; of these states, 30 were presented with descriptions revised from previous versions and 18 were new to GBD 2013. We analysed paired comparison data using probit regression analysis and rescaled results to disability weight units between 0 (no loss of health) and 1 (loss equivalent to death). We compared results with previous estimates, and an additional analysis examined sensitivity of paired comparison responses to duration of hypothetical health states. FINDINGS: The total analysis sample consisted of 30 230 respondents from the GBD 2010 surveys and 30 660 from the new European surveys. For health states common to GBD 2010 and GBD 2013, results were highly correlated overall (Pearson's r 0.992 [95% uncertainty interval 0.989-0.994]). For health state descriptions that were revised for this study, resulting disability weights were substantially different for a subset of these weights, including those related to hearing loss (eg, complete hearing loss: GBD 2010 0.033 [0.020-0.052]; GBD 2013 0.215 [0.144-0.307]) and treated spinal cord lesions (below the neck: GBD 2010 0.047 [0.028-0.072]; GBD 2013 0.296 [0.198-0.414]; neck level: GBD 2010 0.369 [0.243-0.513]; GBD 2013 0.589 [0.415-0.748]). Survey responses to paired comparison questions were insensitive to whether the comparisons were framed in terms of temporary or chronic outcomes (Pearson's r 0.981 [0.973-0.987]). INTERPRETATION: This study substantially expands the empirical basis for assessment of non-fatal outcomes in the GBD study. Findings from this study substantiate the notion that disability weights …","author":[{"dropping-particle":"","family":"Salomon","given":"Joshua A","non-dropping-particle":"","parse-names":false,"suffix":""},{"dropping-particle":"","family":"Haagsma","given":"Juanita A","non-dropping-particle":"","parse-names":false,"suffix":""},{"dropping-particle":"","family":"Davis","given":"Adrian","non-dropping-particle":"","parse-names":false,"suffix":""},{"dropping-particle":"","family":"Noordhout","given":"Charline Maertens","non-dropping-particle":"de","parse-names":false,"suffix":""},{"dropping-particle":"","family":"Polinder","given":"Suzanne","non-dropping-particle":"","parse-names":false,"suffix":""},{"dropping-particle":"","family":"Havelaar","given":"Arie H","non-dropping-particle":"","parse-names":false,"suffix":""},{"dropping-particle":"","family":"Cassini","given":"Alessandro","non-dropping-particle":"","parse-names":false,"suffix":""},{"dropping-particle":"","family":"Devleesschauwer","given":"Brecht","non-dropping-particle":"","parse-names":false,"suffix":""},{"dropping-particle":"","family":"Kretzschmar","given":"Mirjam","non-dropping-particle":"","parse-names":false,"suffix":""},{"dropping-particle":"","family":"Speybroeck","given":"Niko","non-dropping-particle":"","parse-names":false,"suffix":""},{"dropping-particle":"","family":"Murray","given":"Christopher J L","non-dropping-particle":"","parse-names":false,"suffix":""},{"dropping-particle":"","family":"Vos","given":"Theo","non-dropping-particle":"","parse-names":false,"suffix":""}],"container-title":"The Lancet. Global health","id":"ITEM-1","issue":"11","issued":{"date-parts":[["2015","11"]]},"language":"eng","page":"e712-23","publisher-place":"England","title":"Disability weights for the Global Burden of Disease 2013 study.","type":"article-journal","volume":"3"},"uris":["http://www.mendeley.com/documents/?uuid=aeb9a138-aa00-4017-96dc-e4fa90c0dd0b"]}],"mendeley":{"formattedCitation":"&lt;sup&gt;14&lt;/sup&gt;","plainTextFormattedCitation":"14","previouslyFormattedCitation":"&lt;sup&gt;14&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14</w:t>
      </w:r>
      <w:r>
        <w:rPr>
          <w:rFonts w:ascii="Times New Roman" w:hAnsi="Times New Roman" w:cs="Times New Roman"/>
          <w:sz w:val="24"/>
        </w:rPr>
        <w:fldChar w:fldCharType="end"/>
      </w:r>
      <w:r w:rsidRPr="006F0394">
        <w:rPr>
          <w:rFonts w:ascii="Times New Roman" w:hAnsi="Times New Roman" w:cs="Times New Roman"/>
          <w:sz w:val="24"/>
        </w:rPr>
        <w:t xml:space="preserve"> re-estimated disability weights from the GBD Study 2010, and have expanded and improved the description of health states with participants from four European countries, including the Netherlands. Therefore, we decided to use disability weights from this study</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{"citationItems":[{"id":"ITEM-1","itemData":{"DOI":"10.1016/S2214-109X(15)00069-8","ISSN":"2214-109X (Electronic)","PMID":"26475018","abstract":"BACKGROUND: The Global Burden of Disease (GBD) study assesses health losses from  diseases, injuries, and risk factors using disability-adjusted life-years, which need a set of disability weights to quantify health levels associated with non-fatal outcomes. The objective of this study was to estimate disability weights for the GBD 2013 study. METHODS: We analysed data from new web-based surveys of participants aged 18-65 years, completed in four European countries (Hungary, Italy, the Netherlands, and Sweden) between Sept 23, 2013, and Nov 11, 2013, combined with data previously collected in the GBD 2010 disability weights measurement study. Surveys used paired comparison questions for which respondents considered two hypothetical individuals with different health states and specified which person they deemed healthier than the other. These surveys covered 183 health states pertinent to GBD 2013; of these states, 30 were presented with descriptions revised from previous versions and 18 were new to GBD 2013. We analysed paired comparison data using probit regression analysis and rescaled results to disability weight units between 0 (no loss of health) and 1 (loss equivalent to death). We compared results with previous estimates, and an additional analysis examined sensitivity of paired comparison responses to duration of hypothetical health states. FINDINGS: The total analysis sample consisted of 30 230 respondents from the GBD 2010 surveys and 30 660 from the new European surveys. For health states common to GBD 2010 and GBD 2013, results were highly correlated overall (Pearson's r 0.992 [95% uncertainty interval 0.989-0.994]). For health state descriptions that were revised for this study, resulting disability weights were substantially different for a subset of these weights, including those related to hearing loss (eg, complete hearing loss: GBD 2010 0.033 [0.020-0.052]; GBD 2013 0.215 [0.144-0.307]) and treated spinal cord lesions (below the neck: GBD 2010 0.047 [0.028-0.072]; GBD 2013 0.296 [0.198-0.414]; neck level: GBD 2010 0.369 [0.243-0.513]; GBD 2013 0.589 [0.415-0.748]). Survey responses to paired comparison questions were insensitive to whether the comparisons were framed in terms of temporary or chronic outcomes (Pearson's r 0.981 [0.973-0.987]). INTERPRETATION: This study substantially expands the empirical basis for assessment of non-fatal outcomes in the GBD study. Findings from this study substantiate the notion that disability weights …","author":[{"dropping-particle":"","family":"Salomon","given":"Joshua A","non-dropping-particle":"","parse-names":false,"suffix":""},{"dropping-particle":"","family":"Haagsma","given":"Juanita A","non-dropping-particle":"","parse-names":false,"suffix":""},{"dropping-particle":"","family":"Davis","given":"Adrian","non-dropping-particle":"","parse-names":false,"suffix":""},{"dropping-particle":"","family":"Noordhout","given":"Charline Maertens","non-dropping-particle":"de","parse-names":false,"suffix":""},{"dropping-particle":"","family":"Polinder","given":"Suzanne","non-dropping-particle":"","parse-names":false,"suffix":""},{"dropping-particle":"","family":"Havelaar","given":"Arie H","non-dropping-particle":"","parse-names":false,"suffix":""},{"dropping-particle":"","family":"Cassini","given":"Alessandro","non-dropping-particle":"","parse-names":false,"suffix":""},{"dropping-particle":"","family":"Devleesschauwer","given":"Brecht","non-dropping-particle":"","parse-names":false,"suffix":""},{"dropping-particle":"","family":"Kretzschmar","given":"Mirjam","non-dropping-particle":"","parse-names":false,"suffix":""},{"dropping-particle":"","family":"Speybroeck","given":"Niko","non-dropping-particle":"","parse-names":false,"suffix":""},{"dropping-particle":"","family":"Murray","given":"Christopher J L","non-dropping-particle":"","parse-names":false,"suffix":""},{"dropping-particle":"","family":"Vos","given":"Theo","non-dropping-particle":"","parse-names":false,"suffix":""}],"container-title":"The Lancet. Global health","id":"ITEM-1","issue":"11","issued":{"date-parts":[["2015","11"]]},"language":"eng","page":"e712-23","publisher-place":"England","title":"Disability weights for the Global Burden of Disease 2013 study.","type":"article-journal","volume":"3"},"uris":["http://www.mendeley.com/documents/?uuid=aeb9a138-aa00-4017-96dc-e4fa90c0dd0b"]},{"id":"ITEM-2","itemData":{"ISSN":"1010-7940","PMID":"2268438","abstract":"Global Burden of Disease Collaborative Network. Global Burden of Disease Study 2016 (GBD 2016) Results. Seattle, United States: Institute for Health Metrics and Evaluation (IHME), 2017. Available from http://ghdx.healthdata.org/gbd-results-tool.","author":[{"dropping-particle":"","family":"Institute for Health Metrics and Evaluation","given":"","non-dropping-particle":"","parse-names":false,"suffix":""}],"container-title":"Global Burden of Disease Collaborative Network","id":"ITEM-2","issued":{"date-parts":[["2017"]]},"title":"Global Burden of Disease Study 2016 (GBD 2016) Results","type":"article-journal"},"uris":["http://www.mendeley.com/documents/?uuid=3f28ff9d-b3c1-4c50-bb7c-02f87893a5f5"]}],"mendeley":{"formattedCitation":"&lt;sup&gt;14,15&lt;/sup&gt;","plainTextFormattedCitation":"14,15","previouslyFormattedCitation":"&lt;sup&gt;14,15&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14,15</w:t>
      </w:r>
      <w:r>
        <w:rPr>
          <w:rFonts w:ascii="Times New Roman" w:hAnsi="Times New Roman" w:cs="Times New Roman"/>
          <w:sz w:val="24"/>
        </w:rPr>
        <w:fldChar w:fldCharType="end"/>
      </w:r>
      <w:r w:rsidRPr="006F0394">
        <w:rPr>
          <w:rFonts w:ascii="Times New Roman" w:hAnsi="Times New Roman" w:cs="Times New Roman"/>
          <w:sz w:val="24"/>
        </w:rPr>
        <w:t xml:space="preserve"> The disability weights range from 0.036 for mastectomy to 0.54 for the terminal phase of breast cancer. </w:t>
      </w:r>
      <w:r>
        <w:rPr>
          <w:rFonts w:ascii="Times New Roman" w:hAnsi="Times New Roman" w:cs="Times New Roman"/>
          <w:sz w:val="24"/>
        </w:rPr>
        <w:t>To calculate QALYs</w:t>
      </w:r>
      <w:r w:rsidRPr="006F0394">
        <w:rPr>
          <w:rFonts w:ascii="Times New Roman" w:hAnsi="Times New Roman" w:cs="Times New Roman"/>
          <w:sz w:val="24"/>
        </w:rPr>
        <w:t xml:space="preserve">, </w:t>
      </w:r>
      <w:proofErr w:type="spellStart"/>
      <w:r>
        <w:rPr>
          <w:rFonts w:ascii="Times New Roman" w:hAnsi="Times New Roman" w:cs="Times New Roman"/>
          <w:sz w:val="24"/>
        </w:rPr>
        <w:t>HRQoL</w:t>
      </w:r>
      <w:proofErr w:type="spellEnd"/>
      <w:r>
        <w:rPr>
          <w:rFonts w:ascii="Times New Roman" w:hAnsi="Times New Roman" w:cs="Times New Roman"/>
          <w:sz w:val="24"/>
        </w:rPr>
        <w:t xml:space="preserve"> utilities were extracted from three </w:t>
      </w:r>
      <w:r w:rsidRPr="006F0394">
        <w:rPr>
          <w:rFonts w:ascii="Times New Roman" w:hAnsi="Times New Roman" w:cs="Times New Roman"/>
          <w:sz w:val="24"/>
        </w:rPr>
        <w:t xml:space="preserve">carefully </w:t>
      </w:r>
      <w:r>
        <w:rPr>
          <w:rFonts w:ascii="Times New Roman" w:hAnsi="Times New Roman" w:cs="Times New Roman"/>
          <w:sz w:val="24"/>
        </w:rPr>
        <w:t xml:space="preserve">selected </w:t>
      </w:r>
      <w:r w:rsidRPr="006F0394">
        <w:rPr>
          <w:rFonts w:ascii="Times New Roman" w:hAnsi="Times New Roman" w:cs="Times New Roman"/>
          <w:sz w:val="24"/>
        </w:rPr>
        <w:t xml:space="preserve">papers </w:t>
      </w:r>
      <w:r>
        <w:rPr>
          <w:rFonts w:ascii="Times New Roman" w:hAnsi="Times New Roman" w:cs="Times New Roman"/>
          <w:sz w:val="24"/>
        </w:rPr>
        <w:t>that describe</w:t>
      </w:r>
      <w:r w:rsidRPr="006F0394">
        <w:rPr>
          <w:rFonts w:ascii="Times New Roman" w:hAnsi="Times New Roman" w:cs="Times New Roman"/>
          <w:sz w:val="24"/>
        </w:rPr>
        <w:t xml:space="preserve"> health states most comparable to the set defined by the GBD Study</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{"citationItems":[{"id":"ITEM-1","itemData":{"DOI":"10.1002/ijc.2910490411","ISSN":"0020-7136 (Print)","PMID":"1917155","abstract":"Trials have shown that breast cancer screening is effective in reducing breast cancer mortality and gaining life-years. The question is whether taking into account the impact of a screening programme on quality of life would lead to a less positive view. Screening may have effects on quality of life in the short run for women participating and effects in the long run as a result of the expected shift in the number of women experiencing early and advanced phases of the disease, after the initiation of the programme. In this study 4 steps have been taken: (I) published studies on quality of life and breast cancer (screening) up to 1989 have been reviewed and summarized and, based on these data, the consequences of breast cancer and treatment have been described; (2) values have been assigned to the disease and treatment phases by experts in breast cancer and public health (N = 31, response 87%); (3) these values have been inserted in the MISCAN model predicting the prevalence of disease/treatment phases with and without a 2-yearly screening programme for women aged 50-70 and multiplied by the duration of these phases; (4) analyses have been done to establish the sensitivity of the results for the values inserted. The programme of 2-yearly mammographic screening for women aged 50-70 is predicted to be 8% \"less effective\" (range -19.7 to +3.2%) when computing quality-adjusted life-years. We conclude that this adjustment is too small to attribute a major role to quality of life in the decision to undertake a large-scale breast cancer screening programme.","author":[{"dropping-particle":"","family":"Haes","given":"J C","non-dropping-particle":"de","parse-names":false,"suffix":""},{"dropping-particle":"","family":"Koning","given":"H J","non-dropping-particle":"de","parse-names":false,"suffix":""},{"dropping-particle":"","family":"Oortmarssen","given":"G J","non-dropping-particle":"van","parse-names":false,"suffix":""},{"dropping-particle":"","family":"Agt","given":"H M","non-dropping-particle":"van","parse-names":false,"suffix":""},{"dropping-particle":"","family":"Bruyn","given":"A E","non-dropping-particle":"de","parse-names":false,"suffix":""},{"dropping-particle":"","family":"Maas","given":"P J","non-dropping-particle":"van Der","parse-names":false,"suffix":""}],"container-title":"International journal of cancer","id":"ITEM-1","issue":"4","issued":{"date-parts":[["1991","10"]]},"language":"eng","page":"538-544","publisher-place":"United States","title":"The impact of a breast cancer screening programme on quality-adjusted life-years.","type":"article-journal","volume":"49"},"uris":["http://www.mendeley.com/documents/?uuid=12b29418-32ee-49d5-bf8e-65a5116bcc71"]},{"id":"ITEM-2","itemData":{"DOI":"10.1002/ijc.2910490410","ISSN":"0020-7136 (Print)","PMID":"1917154","abstract":"Mammographic screening for women aged 50-70 is effective in reducing breast cancer mortality, but the impact on quality of life and the attainable mortality reduction remain to be discussed. The consequences of expanding screening programmes to include women in other age groups are uncertain. We have predicted the effects and costs for 5 popular screening variants, differing in age group and screening interval, on the basis of our analysis of the Dutch screening trials and of the reported mortality reductions in other trials. We have also investigated the influence of a large number of uncertain factors. Screening for women aged 50 and over with a 2- or 3-year interval is very cost-effective and will result in reductions of respectively 16% or 10% in breast cancer mortality in a real population. Variation of most variables keeps the cost-effectiveness (CE) ratio limited to the range of US $3,000 to 5,000 per life-year gained. A 2- to 3-fold change in CE ratio would only occur if the extreme estimates of mortality reduction in the Swedish screening trials were applied. The impact on quality of life (QoL) is limited: for the 2-yearly screening policy for women aged 50-70, the cost per Quality-Adjusted Life-Year (QALY) gained is 4,050, whereas the cost per life-year gained is US $3,825. The CE ratio for 2-yearly screening of women aged 40-70 is 5,400, but the additional cost per additional life-year gained is US $35,000. It would be preferable by far to extend the screening programme to women over the age of 70 or to shorten the screening interval for women aged 50-70. Screening performances, the demand for mammograms outside screening and the possibility of a survival improvement irrespective of screening have a strong impact on QoL and CE.","author":[{"dropping-particle":"","family":"Koning","given":"H J","non-dropping-particle":"de","parse-names":false,"suffix":""},{"dropping-particle":"","family":"Ineveld","given":"B M","non-dropping-particle":"van","parse-names":false,"suffix":""},{"dropping-particle":"","family":"Oortmarssen","given":"G J","non-dropping-particle":"van","parse-names":false,"suffix":""},{"dropping-particle":"","family":"Haes","given":"J C","non-dropping-particle":"de","parse-names":false,"suffix":""},{"dropping-particle":"","family":"Collette","given":"H J","non-dropping-particle":"","parse-names":false,"suffix":""},{"dropping-particle":"","family":"Hendriks","given":"J H","non-dropping-particle":"","parse-names":false,"suffix":""},{"dropping-particle":"","family":"Maas","given":"P J","non-dropping-particle":"van der","parse-names":false,"suffix":""}],"container-title":"International journal of cancer","id":"ITEM-2","issue":"4","issued":{"date-parts":[["1991","10"]]},"language":"eng","page":"531-537","publisher-place":"United States","title":"Breast cancer screening and cost-effectiveness; policy alternatives, quality of life considerations and the possible impact of uncertain factors.","type":"article-journal","volume":"49"},"uris":["http://www.mendeley.com/documents/?uuid=d94ea4ee-2c9b-4e9b-b274-b0aded5ec8db"]},{"id":"ITEM-3","itemData":{"DOI":"10.1038/sj.bjc.6603326","ISSN":"0007-0920 (Print)","PMID":"16967055","abstract":"The aim of the study was to obtain United Kingdom-based societal preferences for  distinct stages of metastatic breast cancer (MBC) and six common toxicities. Health states were developed based on literature review, iterative cycles of interviews and a focus group with clinical experts. They described the burden of progressive, responding and stable disease on treatment; and also febrile neutropenia, stomatitis; diarrhoea/vomiting; fatigue; hand-foot syndrome (grade 3/4 toxicities) and hair loss. One hundred members of the general public rated them using standard gamble to determine health state utility. Data were analysed with a mixed model analysis. The study sample was a good match to the general public of England and Wales by demographics and current quality of life. Stable disease on treatment had a utility value of 0.72, with a corresponding gain of +0.07 following a treatment response and a decline by 0.27 for disease progression. Toxicities lead to declines in utility between 0.10 (diarrhoea/vomiting) and 0.15 (febrile neutropenia). This study underlines the value that society place on the avoidance of disease progression and severe side effects in MBC. This may be the largest preference study in breast cancer designed to survey a representative general public sample.","author":[{"dropping-particle":"","family":"Lloyd","given":"A","non-dropping-particle":"","parse-names":false,"suffix":""},{"dropping-particle":"","family":"Nafees","given":"B","non-dropping-particle":"","parse-names":false,"suffix":""},{"dropping-particle":"","family":"Narewska","given":"J","non-dropping-particle":"","parse-names":false,"suffix":""},{"dropping-particle":"","family":"Dewilde","given":"S","non-dropping-particle":"","parse-names":false,"suffix":""},{"dropping-particle":"","family":"Watkins","given":"J","non-dropping-particle":"","parse-names":false,"suffix":""}],"container-title":"British journal of cancer","id":"ITEM-3","issue":"6","issued":{"date-parts":[["2006","9"]]},"language":"eng","page":"683-690","publisher-place":"England","title":"Health state utilities for metastatic breast cancer.","type":"article-journal","volume":"95"},"uris":["http://www.mendeley.com/documents/?uuid=2897cb76-dd4a-4eed-8b7e-d83381d022e6"]}],"mendeley":{"formattedCitation":"&lt;sup&gt;16–18&lt;/sup&gt;","plainTextFormattedCitation":"16–18","previouslyFormattedCitation":"&lt;sup&gt;16–18&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lang w:val="en-GB"/>
        </w:rPr>
        <w:t>16–18</w:t>
      </w:r>
      <w:r>
        <w:rPr>
          <w:rFonts w:ascii="Times New Roman" w:hAnsi="Times New Roman" w:cs="Times New Roman"/>
          <w:sz w:val="24"/>
        </w:rPr>
        <w:fldChar w:fldCharType="end"/>
      </w:r>
      <w:r w:rsidRPr="00EB53BE">
        <w:rPr>
          <w:rFonts w:ascii="Times New Roman" w:hAnsi="Times New Roman" w:cs="Times New Roman"/>
          <w:sz w:val="24"/>
          <w:lang w:val="en-GB"/>
        </w:rPr>
        <w:t xml:space="preserve"> </w:t>
      </w:r>
      <w:r w:rsidRPr="006F0394">
        <w:rPr>
          <w:rFonts w:ascii="Times New Roman" w:hAnsi="Times New Roman" w:cs="Times New Roman"/>
          <w:sz w:val="24"/>
        </w:rPr>
        <w:t xml:space="preserve">The utilities varied from 0.99 for mammography screening to 0.288 for the last month in the terminal phase of breast cancer (Table 1). </w:t>
      </w:r>
      <w:r>
        <w:rPr>
          <w:rFonts w:ascii="Times New Roman" w:hAnsi="Times New Roman" w:cs="Times New Roman"/>
          <w:sz w:val="24"/>
        </w:rPr>
        <w:t>Appendix 2 Table 1 presents t</w:t>
      </w:r>
      <w:r w:rsidRPr="006F0394">
        <w:rPr>
          <w:rFonts w:ascii="Times New Roman" w:hAnsi="Times New Roman" w:cs="Times New Roman"/>
          <w:sz w:val="24"/>
        </w:rPr>
        <w:t xml:space="preserve">he full list of </w:t>
      </w:r>
      <w:proofErr w:type="spellStart"/>
      <w:r w:rsidRPr="006F0394">
        <w:rPr>
          <w:rFonts w:ascii="Times New Roman" w:hAnsi="Times New Roman" w:cs="Times New Roman"/>
          <w:sz w:val="24"/>
        </w:rPr>
        <w:t>HRQoL</w:t>
      </w:r>
      <w:proofErr w:type="spellEnd"/>
      <w:r w:rsidRPr="006F0394">
        <w:rPr>
          <w:rFonts w:ascii="Times New Roman" w:hAnsi="Times New Roman" w:cs="Times New Roman"/>
          <w:sz w:val="24"/>
        </w:rPr>
        <w:t xml:space="preserve"> utilities and disability wei</w:t>
      </w:r>
      <w:r>
        <w:rPr>
          <w:rFonts w:ascii="Times New Roman" w:hAnsi="Times New Roman" w:cs="Times New Roman"/>
          <w:sz w:val="24"/>
        </w:rPr>
        <w:t>ghts extracted from literature.</w:t>
      </w:r>
    </w:p>
    <w:p w:rsidR="00723741" w:rsidRPr="006F0394" w:rsidRDefault="00723741" w:rsidP="00723741">
      <w:pPr>
        <w:pStyle w:val="Heading2-Manuscript"/>
        <w:spacing w:line="276" w:lineRule="auto"/>
      </w:pPr>
      <w:r w:rsidRPr="006F0394">
        <w:t>MISCAN model</w:t>
      </w:r>
    </w:p>
    <w:p w:rsidR="00723741" w:rsidRPr="00D654B1"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The MISCAN model is a well-established microsimulation model. It was designed to evaluate the effect of breast cancer screening. MISCAN simulates individual life histories and assesses the consequences of introducing a screening program on these life histories</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{"citationItems":[{"id":"ITEM-1","itemData":{"DOI":"10.1016/0169-2607(85)90048-3","ISSN":"0169-2607 (Print)","PMID":"3849380","abstract":"The computer program MISCAN is developed for use in evaluation of mass screening  for disease. The program uses Monte Carlo simulation. It produces output on the results of screening projects and on the effects of screening on morbidity and mortality on the individual and population level. The calculations are based on models of the natural history of the disease and of the impact of screening on the natural history. The approach is such that considerable flexibility exists in specifying the structure of the model and its parameters. The program consists of two parts. The DISEASE part can be used for simulating the epidemiology of the disease when no screening is taking place; it requires input on the population and on the disease process. The SCREENING part is to be used in combination with the DISEASE part. It is intended for simulation of the results and effects of a screening project. It requires input on the properties of the screening tests, the consequences of early detection by screening, and the policy (ages and intervals between screens) of the project. MISCAN can be used for finding model assumptions regarding the disease process and the impact of screening that give a good explanation of the observed results of a screening project. Such an analysis proceeds in two steps. First, MISCAN is used to calculate simulated results of the project, based on specific assumptions. Next, these results are tested against the observed results, in order to assess the acceptability of the assumptions. MISCAN can also be used for optimization of the screening policy by simulating the cost and benefit components of a large number of different screening policies.","author":[{"dropping-particle":"","family":"Habbema","given":"J D","non-dropping-particle":"","parse-names":false,"suffix":""},{"dropping-particle":"","family":"Oortmarssen","given":"G J","non-dropping-particle":"van","parse-names":false,"suffix":""},{"dropping-particle":"","family":"Lubbe","given":"J T","non-dropping-particle":"","parse-names":false,"suffix":""},{"dropping-particle":"","family":"Maas","given":"P J","non-dropping-particle":"van der","parse-names":false,"suffix":""}],"container-title":"Computer methods and programs in biomedicine","id":"ITEM-1","issue":"1","issued":{"date-parts":[["1985","5"]]},"language":"eng","page":"79-93","publisher-place":"Ireland","title":"The MISCAN simulation program for the evaluation of screening for disease.","type":"article-journal","volume":"20"},"uris":["http://www.mendeley.com/documents/?uuid=bb8c5a43-819d-4af0-996b-bd1f08f751c4"]}],"mendeley":{"formattedCitation":"&lt;sup&gt;19&lt;/sup&gt;","plainTextFormattedCitation":"19","previouslyFormattedCitation":"&lt;sup&gt;19&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19</w:t>
      </w:r>
      <w:r>
        <w:rPr>
          <w:rFonts w:ascii="Times New Roman" w:hAnsi="Times New Roman" w:cs="Times New Roman"/>
          <w:sz w:val="24"/>
        </w:rPr>
        <w:fldChar w:fldCharType="end"/>
      </w:r>
      <w:r w:rsidRPr="006F0394">
        <w:rPr>
          <w:rFonts w:ascii="Times New Roman" w:hAnsi="Times New Roman" w:cs="Times New Roman"/>
          <w:sz w:val="24"/>
        </w:rPr>
        <w:t xml:space="preserve"> The model estimates the effect of cancer screening in a population and can explain results of cancer screening trials and predict and compare the cost-effectiveness of different screening strategies</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{"citationItems":[{"id":"ITEM-1","itemData":{"DOI":"10.1016/0169-2607(85)90048-3","ISSN":"0169-2607 (Print)","PMID":"3849380","abstract":"The computer program MISCAN is developed for use in evaluation of mass screening  for disease. The program uses Monte Carlo simulation. It produces output on the results of screening projects and on the effects of screening on morbidity and mortality on the individual and population level. The calculations are based on models of the natural history of the disease and of the impact of screening on the natural history. The approach is such that considerable flexibility exists in specifying the structure of the model and its parameters. The program consists of two parts. The DISEASE part can be used for simulating the epidemiology of the disease when no screening is taking place; it requires input on the population and on the disease process. The SCREENING part is to be used in combination with the DISEASE part. It is intended for simulation of the results and effects of a screening project. It requires input on the properties of the screening tests, the consequences of early detection by screening, and the policy (ages and intervals between screens) of the project. MISCAN can be used for finding model assumptions regarding the disease process and the impact of screening that give a good explanation of the observed results of a screening project. Such an analysis proceeds in two steps. First, MISCAN is used to calculate simulated results of the project, based on specific assumptions. Next, these results are tested against the observed results, in order to assess the acceptability of the assumptions. MISCAN can also be used for optimization of the screening policy by simulating the cost and benefit components of a large number of different screening policies.","author":[{"dropping-particle":"","family":"Habbema","given":"J D","non-dropping-particle":"","parse-names":false,"suffix":""},{"dropping-particle":"","family":"Oortmarssen","given":"G J","non-dropping-particle":"van","parse-names":false,"suffix":""},{"dropping-particle":"","family":"Lubbe","given":"J T","non-dropping-particle":"","parse-names":false,"suffix":""},{"dropping-particle":"","family":"Maas","given":"P J","non-dropping-particle":"van der","parse-names":false,"suffix":""}],"container-title":"Computer methods and programs in biomedicine","id":"ITEM-1","issue":"1","issued":{"date-parts":[["1985","5"]]},"language":"eng","page":"79-93","publisher-place":"Ireland","title":"The MISCAN simulation program for the evaluation of screening for disease.","type":"article-journal","volume":"20"},"uris":["http://www.mendeley.com/documents/?uuid=bb8c5a43-819d-4af0-996b-bd1f08f751c4"]}],"mendeley":{"formattedCitation":"&lt;sup&gt;19&lt;/sup&gt;","plainTextFormattedCitation":"19","previouslyFormattedCitation":"&lt;sup&gt;19&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19</w:t>
      </w:r>
      <w:r>
        <w:rPr>
          <w:rFonts w:ascii="Times New Roman" w:hAnsi="Times New Roman" w:cs="Times New Roman"/>
          <w:sz w:val="24"/>
        </w:rPr>
        <w:fldChar w:fldCharType="end"/>
      </w:r>
      <w:r w:rsidRPr="006F0394">
        <w:rPr>
          <w:rFonts w:ascii="Times New Roman" w:hAnsi="Times New Roman" w:cs="Times New Roman"/>
          <w:sz w:val="24"/>
        </w:rPr>
        <w:t xml:space="preserve"> Our model has been calibrated on Dutch data, and the </w:t>
      </w:r>
      <w:r>
        <w:rPr>
          <w:rFonts w:ascii="Times New Roman" w:hAnsi="Times New Roman" w:cs="Times New Roman"/>
          <w:sz w:val="24"/>
        </w:rPr>
        <w:t xml:space="preserve">standard </w:t>
      </w:r>
      <w:r w:rsidRPr="006F0394">
        <w:rPr>
          <w:rFonts w:ascii="Times New Roman" w:hAnsi="Times New Roman" w:cs="Times New Roman"/>
          <w:sz w:val="24"/>
        </w:rPr>
        <w:t>life expectancy of Dutch women was incorporated</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{"citationItems":[{"id":"ITEM-1","itemData":{"URL":"http://apps.who.int/gho/data/?theme=main&amp;vid=61160","abstract":"World Health Organization. Global Health Observatory (GHO): the data repository. Geneva: WHO; 2014. [ Links ]","accessed":{"date-parts":[["2019","2","9"]]},"author":[{"dropping-particle":"","family":"World Health Organization","given":"","non-dropping-particle":"","parse-names":false,"suffix":""}],"container-title":"World Health Organization","id":"ITEM-1","issued":{"date-parts":[["2014"]]},"title":"Global Health Observatory (GHO): the data repository","type":"webpage"},"uris":["http://www.mendeley.com/documents/?uuid=6b63e6cf-6674-403e-98a4-749f61eeb7fa"]}],"mendeley":{"formattedCitation":"&lt;sup&gt;20&lt;/sup&gt;","plainTextFormattedCitation":"20","previouslyFormattedCitation":"&lt;sup&gt;20&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20</w:t>
      </w:r>
      <w:r>
        <w:rPr>
          <w:rFonts w:ascii="Times New Roman" w:hAnsi="Times New Roman" w:cs="Times New Roman"/>
          <w:sz w:val="24"/>
        </w:rPr>
        <w:fldChar w:fldCharType="end"/>
      </w:r>
      <w:r w:rsidRPr="006F0394">
        <w:rPr>
          <w:rFonts w:ascii="Times New Roman" w:hAnsi="Times New Roman" w:cs="Times New Roman"/>
          <w:sz w:val="24"/>
        </w:rPr>
        <w:t xml:space="preserve"> We used the MISCAN model to quantify the effects of </w:t>
      </w:r>
      <w:r>
        <w:rPr>
          <w:rFonts w:ascii="Times New Roman" w:hAnsi="Times New Roman" w:cs="Times New Roman"/>
          <w:sz w:val="24"/>
        </w:rPr>
        <w:t xml:space="preserve">mammography-based </w:t>
      </w:r>
      <w:r w:rsidRPr="006F0394">
        <w:rPr>
          <w:rFonts w:ascii="Times New Roman" w:hAnsi="Times New Roman" w:cs="Times New Roman"/>
          <w:sz w:val="24"/>
        </w:rPr>
        <w:t>screening, comparing screened to non-screened life histories and to estimate DALYs, QALYs, DALYs averted and QALYs gained</w:t>
      </w:r>
      <w:r>
        <w:rPr>
          <w:rFonts w:ascii="Times New Roman" w:hAnsi="Times New Roman" w:cs="Times New Roman"/>
          <w:sz w:val="24"/>
        </w:rPr>
        <w:t xml:space="preserve"> and costs</w:t>
      </w:r>
      <w:r w:rsidRPr="006F0394">
        <w:rPr>
          <w:rFonts w:ascii="Times New Roman" w:hAnsi="Times New Roman" w:cs="Times New Roman"/>
          <w:sz w:val="24"/>
        </w:rPr>
        <w:t xml:space="preserve"> for each screening strategy</w:t>
      </w:r>
      <w:r>
        <w:rPr>
          <w:rFonts w:ascii="Times New Roman" w:hAnsi="Times New Roman" w:cs="Times New Roman"/>
          <w:sz w:val="24"/>
        </w:rPr>
        <w:t>.</w:t>
      </w:r>
    </w:p>
    <w:p w:rsidR="00723741" w:rsidRPr="006F0394" w:rsidRDefault="00723741" w:rsidP="00723741">
      <w:pPr>
        <w:pStyle w:val="Heading2-Manuscript"/>
        <w:spacing w:line="276" w:lineRule="auto"/>
      </w:pPr>
      <w:r w:rsidRPr="006F0394">
        <w:t>Screening strategies</w:t>
      </w:r>
    </w:p>
    <w:p w:rsidR="00723741" w:rsidRPr="006F0394"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lastRenderedPageBreak/>
        <w:t>We simulated different breast cancer screening strategies varying in starting age (starting at 45, 47, and 50 years), stopping age (</w:t>
      </w:r>
      <w:r w:rsidRPr="00AD3BDF">
        <w:rPr>
          <w:rFonts w:ascii="Times New Roman" w:hAnsi="Times New Roman" w:cs="Times New Roman"/>
          <w:sz w:val="24"/>
        </w:rPr>
        <w:t>stopping at 69, 72, and</w:t>
      </w:r>
      <w:r w:rsidRPr="006F0394">
        <w:rPr>
          <w:rFonts w:ascii="Times New Roman" w:hAnsi="Times New Roman" w:cs="Times New Roman"/>
          <w:sz w:val="24"/>
        </w:rPr>
        <w:t xml:space="preserve"> 74 years), and frequency (annual, biennial,</w:t>
      </w:r>
      <w:r>
        <w:rPr>
          <w:rFonts w:ascii="Times New Roman" w:hAnsi="Times New Roman" w:cs="Times New Roman"/>
          <w:sz w:val="24"/>
        </w:rPr>
        <w:t xml:space="preserve"> triennial</w:t>
      </w:r>
      <w:r w:rsidRPr="006F0394">
        <w:rPr>
          <w:rFonts w:ascii="Times New Roman" w:hAnsi="Times New Roman" w:cs="Times New Roman"/>
          <w:sz w:val="24"/>
        </w:rPr>
        <w:t xml:space="preserve"> and combination of</w:t>
      </w:r>
      <w:r>
        <w:rPr>
          <w:rFonts w:ascii="Times New Roman" w:hAnsi="Times New Roman" w:cs="Times New Roman"/>
          <w:sz w:val="24"/>
        </w:rPr>
        <w:t xml:space="preserve"> annual and biennial</w:t>
      </w:r>
      <w:r w:rsidRPr="006F0394">
        <w:rPr>
          <w:rFonts w:ascii="Times New Roman" w:hAnsi="Times New Roman" w:cs="Times New Roman"/>
          <w:sz w:val="24"/>
        </w:rPr>
        <w:t xml:space="preserve">). In total, we defined </w:t>
      </w:r>
      <w:r>
        <w:rPr>
          <w:rFonts w:ascii="Times New Roman" w:hAnsi="Times New Roman" w:cs="Times New Roman"/>
          <w:sz w:val="24"/>
        </w:rPr>
        <w:t>24</w:t>
      </w:r>
      <w:r w:rsidRPr="006F0394">
        <w:rPr>
          <w:rFonts w:ascii="Times New Roman" w:hAnsi="Times New Roman" w:cs="Times New Roman"/>
          <w:sz w:val="24"/>
        </w:rPr>
        <w:t xml:space="preserve"> different breast cancer screening strategies including no screening as a reference strategy. Overall, we assumed an attendance of 80% to all screening invitations</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{"citationItems":[{"id":"ITEM-1","itemData":{"id":"ITEM-1","issued":{"date-parts":[["2014"]]},"publisher-place":"Rotterdam, The Netherlands","title":"National Evaluation Team for Breast Cancer Screening (NETB). National evaluation of breast cancer screening in the Netherlands 1990-2011/2012.","type":"report"},"uris":["http://www.mendeley.com/documents/?uuid=884228b6-51dc-47de-bc32-691d2ad1241a"]}],"mendeley":{"formattedCitation":"&lt;sup&gt;21&lt;/sup&gt;","plainTextFormattedCitation":"21","previouslyFormattedCitation":"&lt;sup&gt;21&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21</w:t>
      </w:r>
      <w:r>
        <w:rPr>
          <w:rFonts w:ascii="Times New Roman" w:hAnsi="Times New Roman" w:cs="Times New Roman"/>
          <w:sz w:val="24"/>
        </w:rPr>
        <w:fldChar w:fldCharType="end"/>
      </w:r>
      <w:r>
        <w:rPr>
          <w:rFonts w:ascii="Times New Roman" w:hAnsi="Times New Roman" w:cs="Times New Roman"/>
          <w:sz w:val="24"/>
        </w:rPr>
        <w:t xml:space="preserve">, which </w:t>
      </w:r>
      <w:r w:rsidRPr="00CF041F">
        <w:rPr>
          <w:rFonts w:ascii="Times New Roman" w:hAnsi="Times New Roman" w:cs="Times New Roman"/>
          <w:sz w:val="24"/>
        </w:rPr>
        <w:t>means that t</w:t>
      </w:r>
      <w:r w:rsidRPr="00A326BC">
        <w:rPr>
          <w:rFonts w:ascii="Times New Roman" w:hAnsi="Times New Roman" w:cs="Times New Roman"/>
          <w:sz w:val="24"/>
        </w:rPr>
        <w:t>here is an independent probability of</w:t>
      </w:r>
      <w:r>
        <w:rPr>
          <w:rFonts w:ascii="Times New Roman" w:hAnsi="Times New Roman" w:cs="Times New Roman"/>
          <w:sz w:val="24"/>
        </w:rPr>
        <w:t xml:space="preserve"> </w:t>
      </w:r>
      <w:r w:rsidRPr="00A326BC">
        <w:rPr>
          <w:rFonts w:ascii="Times New Roman" w:hAnsi="Times New Roman" w:cs="Times New Roman"/>
          <w:sz w:val="24"/>
        </w:rPr>
        <w:t>80%</w:t>
      </w:r>
      <w:r>
        <w:rPr>
          <w:rFonts w:ascii="Times New Roman" w:hAnsi="Times New Roman" w:cs="Times New Roman"/>
          <w:sz w:val="24"/>
        </w:rPr>
        <w:t xml:space="preserve"> to </w:t>
      </w:r>
      <w:r w:rsidRPr="00A326BC">
        <w:rPr>
          <w:rFonts w:ascii="Times New Roman" w:hAnsi="Times New Roman" w:cs="Times New Roman"/>
          <w:sz w:val="24"/>
        </w:rPr>
        <w:t>attend each screen. We assumed 100% diagnostic follow-up for women with a positive test.</w:t>
      </w:r>
    </w:p>
    <w:p w:rsidR="00723741" w:rsidRPr="006F0394" w:rsidRDefault="00723741" w:rsidP="00723741">
      <w:pPr>
        <w:pStyle w:val="Heading2-Manuscript"/>
        <w:spacing w:line="276" w:lineRule="auto"/>
      </w:pPr>
      <w:r w:rsidRPr="006F0394">
        <w:t>Model parameters and assumptions</w:t>
      </w:r>
    </w:p>
    <w:p w:rsidR="00723741" w:rsidRPr="006F0394"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 xml:space="preserve">In our modeling analysis, </w:t>
      </w:r>
      <w:r>
        <w:rPr>
          <w:rFonts w:ascii="Times New Roman" w:hAnsi="Times New Roman" w:cs="Times New Roman"/>
          <w:sz w:val="24"/>
        </w:rPr>
        <w:t>one birth</w:t>
      </w:r>
      <w:r w:rsidRPr="006F0394">
        <w:rPr>
          <w:rFonts w:ascii="Times New Roman" w:hAnsi="Times New Roman" w:cs="Times New Roman"/>
          <w:sz w:val="24"/>
        </w:rPr>
        <w:t xml:space="preserve"> cohort of 10 million Dutch women</w:t>
      </w:r>
      <w:r>
        <w:rPr>
          <w:rFonts w:ascii="Times New Roman" w:hAnsi="Times New Roman" w:cs="Times New Roman"/>
          <w:sz w:val="24"/>
        </w:rPr>
        <w:t>, born in 1965,</w:t>
      </w:r>
      <w:r w:rsidRPr="006F0394">
        <w:rPr>
          <w:rFonts w:ascii="Times New Roman" w:hAnsi="Times New Roman" w:cs="Times New Roman"/>
          <w:sz w:val="24"/>
        </w:rPr>
        <w:t xml:space="preserve"> was simulated for every screening strategy and women were followed from </w:t>
      </w:r>
      <w:r>
        <w:rPr>
          <w:rFonts w:ascii="Times New Roman" w:hAnsi="Times New Roman" w:cs="Times New Roman"/>
          <w:sz w:val="24"/>
        </w:rPr>
        <w:t>age 40</w:t>
      </w:r>
      <w:r w:rsidRPr="006F0394">
        <w:rPr>
          <w:rFonts w:ascii="Times New Roman" w:hAnsi="Times New Roman" w:cs="Times New Roman"/>
          <w:sz w:val="24"/>
        </w:rPr>
        <w:t xml:space="preserve"> to death. For each strategy, the total number of screens, the numbers of breast cancers diagnosed, breast cancers deaths, life-years from diagnosis to death, and age of death were predicted. We defined the possible life histories a woman might pass through from screening to death of breast cancer or other causes (Appendix 3)</w:t>
      </w:r>
      <w:r>
        <w:rPr>
          <w:rFonts w:ascii="Times New Roman" w:hAnsi="Times New Roman" w:cs="Times New Roman"/>
          <w:sz w:val="24"/>
        </w:rPr>
        <w:t xml:space="preserve">. For women who had or have been diagnosed with breast cancer, two clinical stages were assumed: </w:t>
      </w:r>
      <w:r w:rsidRPr="00BD555D">
        <w:rPr>
          <w:rFonts w:ascii="Times New Roman" w:hAnsi="Times New Roman" w:cs="Times New Roman"/>
          <w:sz w:val="24"/>
        </w:rPr>
        <w:t>controlled</w:t>
      </w:r>
      <w:r w:rsidRPr="006F0394">
        <w:rPr>
          <w:rFonts w:ascii="Times New Roman" w:hAnsi="Times New Roman" w:cs="Times New Roman"/>
          <w:sz w:val="24"/>
        </w:rPr>
        <w:t xml:space="preserve"> breast cancer </w:t>
      </w:r>
      <w:r>
        <w:rPr>
          <w:rFonts w:ascii="Times New Roman" w:hAnsi="Times New Roman" w:cs="Times New Roman"/>
          <w:sz w:val="24"/>
        </w:rPr>
        <w:t>(Stage 0 (</w:t>
      </w:r>
      <w:r w:rsidRPr="00973DEA">
        <w:rPr>
          <w:rFonts w:ascii="Times New Roman" w:hAnsi="Times New Roman" w:cs="Times New Roman"/>
          <w:i/>
          <w:sz w:val="24"/>
        </w:rPr>
        <w:t xml:space="preserve">ductal carcinoma in </w:t>
      </w:r>
      <w:proofErr w:type="spellStart"/>
      <w:r w:rsidRPr="00973DEA">
        <w:rPr>
          <w:rFonts w:ascii="Times New Roman" w:hAnsi="Times New Roman" w:cs="Times New Roman"/>
          <w:i/>
          <w:sz w:val="24"/>
        </w:rPr>
        <w:t>citu</w:t>
      </w:r>
      <w:proofErr w:type="spellEnd"/>
      <w:r>
        <w:rPr>
          <w:rFonts w:ascii="Times New Roman" w:hAnsi="Times New Roman" w:cs="Times New Roman"/>
          <w:sz w:val="24"/>
        </w:rPr>
        <w:t xml:space="preserve">), Stage 1-3) </w:t>
      </w:r>
      <w:r w:rsidRPr="006F0394">
        <w:rPr>
          <w:rFonts w:ascii="Times New Roman" w:hAnsi="Times New Roman" w:cs="Times New Roman"/>
          <w:sz w:val="24"/>
        </w:rPr>
        <w:t>and metastatic breast cancer</w:t>
      </w:r>
      <w:r>
        <w:rPr>
          <w:rFonts w:ascii="Times New Roman" w:hAnsi="Times New Roman" w:cs="Times New Roman"/>
          <w:sz w:val="24"/>
        </w:rPr>
        <w:t xml:space="preserve"> (Stage 4) based by TNM staging system</w:t>
      </w:r>
      <w:r w:rsidRPr="006F0394">
        <w:rPr>
          <w:rFonts w:ascii="Times New Roman" w:hAnsi="Times New Roman" w:cs="Times New Roman"/>
          <w:sz w:val="24"/>
        </w:rPr>
        <w:t>. Stage distribution is based on Dutch Cancer Registry data</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URL":"www.cijfersoverkanker.nl","accessed":{"date-parts":[["2018","12","15"]]},"author":[{"dropping-particle":"","family":"IKCnet","given":"","non-dropping-particle":"","parse-names":false,"suffix":""}],"id":"ITEM-1","issued":{"date-parts":[["0"]]},"title":"Cijfersoverkanker.nl. Netherlands","type":"webpage"},"uris":["http://www.mendeley.com/documents/?uuid=ca205e1e-d7d1-41a7-a9db-0720841d00bc"]}],"mendeley":{"formattedCitation":"&lt;sup&gt;22&lt;/sup&gt;","plainTextFormattedCitation":"22","previouslyFormattedCitation":"&lt;sup&gt;22&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22</w:t>
      </w:r>
      <w:r>
        <w:rPr>
          <w:rFonts w:ascii="Times New Roman" w:hAnsi="Times New Roman" w:cs="Times New Roman"/>
          <w:sz w:val="24"/>
        </w:rPr>
        <w:fldChar w:fldCharType="end"/>
      </w:r>
      <w:r w:rsidRPr="006F0394">
        <w:rPr>
          <w:rFonts w:ascii="Times New Roman" w:hAnsi="Times New Roman" w:cs="Times New Roman"/>
          <w:sz w:val="24"/>
        </w:rPr>
        <w:t>, and the proportion of controlled breast cancer cases</w:t>
      </w:r>
      <w:r>
        <w:rPr>
          <w:rFonts w:ascii="Times New Roman" w:hAnsi="Times New Roman" w:cs="Times New Roman"/>
          <w:sz w:val="24"/>
        </w:rPr>
        <w:t>,</w:t>
      </w:r>
      <w:r w:rsidRPr="006F0394">
        <w:rPr>
          <w:rFonts w:ascii="Times New Roman" w:hAnsi="Times New Roman" w:cs="Times New Roman"/>
          <w:sz w:val="24"/>
        </w:rPr>
        <w:t xml:space="preserve"> which progressed to metastatic stage was assumed by model</w:t>
      </w:r>
      <w:r>
        <w:rPr>
          <w:rFonts w:ascii="Times New Roman" w:hAnsi="Times New Roman" w:cs="Times New Roman"/>
          <w:sz w:val="24"/>
        </w:rPr>
        <w:t>. In the model, we also assumed that all women with breast cancer (controlled of metastatic) received lumpectomy or mastectomy with or without radiation. I</w:t>
      </w:r>
      <w:r w:rsidRPr="006F0394">
        <w:rPr>
          <w:rFonts w:ascii="Times New Roman" w:hAnsi="Times New Roman" w:cs="Times New Roman"/>
          <w:sz w:val="24"/>
        </w:rPr>
        <w:t>n order to investigate the impact of screening on a woman’s quality of life</w:t>
      </w:r>
      <w:r>
        <w:rPr>
          <w:rFonts w:ascii="Times New Roman" w:hAnsi="Times New Roman" w:cs="Times New Roman"/>
          <w:sz w:val="24"/>
        </w:rPr>
        <w:t xml:space="preserve"> for each life history</w:t>
      </w:r>
      <w:r w:rsidRPr="006F0394">
        <w:rPr>
          <w:rFonts w:ascii="Times New Roman" w:hAnsi="Times New Roman" w:cs="Times New Roman"/>
          <w:sz w:val="24"/>
        </w:rPr>
        <w:t xml:space="preserve"> </w:t>
      </w:r>
      <w:r>
        <w:rPr>
          <w:rFonts w:ascii="Times New Roman" w:hAnsi="Times New Roman" w:cs="Times New Roman"/>
          <w:sz w:val="24"/>
        </w:rPr>
        <w:t xml:space="preserve">we </w:t>
      </w:r>
      <w:r w:rsidRPr="006F0394">
        <w:rPr>
          <w:rFonts w:ascii="Times New Roman" w:hAnsi="Times New Roman" w:cs="Times New Roman"/>
          <w:sz w:val="24"/>
        </w:rPr>
        <w:t>assign</w:t>
      </w:r>
      <w:r>
        <w:rPr>
          <w:rFonts w:ascii="Times New Roman" w:hAnsi="Times New Roman" w:cs="Times New Roman"/>
          <w:sz w:val="24"/>
        </w:rPr>
        <w:t>ed</w:t>
      </w:r>
      <w:r w:rsidRPr="006F0394">
        <w:rPr>
          <w:rFonts w:ascii="Times New Roman" w:hAnsi="Times New Roman" w:cs="Times New Roman"/>
          <w:sz w:val="24"/>
        </w:rPr>
        <w:t xml:space="preserve"> the utility and disability-values for each health state obtained from the literature review. The model includes </w:t>
      </w:r>
      <w:proofErr w:type="spellStart"/>
      <w:r w:rsidRPr="006F0394">
        <w:rPr>
          <w:rFonts w:ascii="Times New Roman" w:hAnsi="Times New Roman" w:cs="Times New Roman"/>
          <w:sz w:val="24"/>
        </w:rPr>
        <w:t>overdiagnosed</w:t>
      </w:r>
      <w:proofErr w:type="spellEnd"/>
      <w:r w:rsidRPr="006F0394">
        <w:rPr>
          <w:rFonts w:ascii="Times New Roman" w:hAnsi="Times New Roman" w:cs="Times New Roman"/>
          <w:sz w:val="24"/>
        </w:rPr>
        <w:t xml:space="preserve"> cases; therefore</w:t>
      </w:r>
      <w:r>
        <w:rPr>
          <w:rFonts w:ascii="Times New Roman" w:hAnsi="Times New Roman" w:cs="Times New Roman"/>
          <w:sz w:val="24"/>
        </w:rPr>
        <w:t>,</w:t>
      </w:r>
      <w:r w:rsidRPr="006F0394">
        <w:rPr>
          <w:rFonts w:ascii="Times New Roman" w:hAnsi="Times New Roman" w:cs="Times New Roman"/>
          <w:sz w:val="24"/>
        </w:rPr>
        <w:t xml:space="preserve"> the impact of </w:t>
      </w:r>
      <w:proofErr w:type="spellStart"/>
      <w:r w:rsidRPr="006F0394">
        <w:rPr>
          <w:rFonts w:ascii="Times New Roman" w:hAnsi="Times New Roman" w:cs="Times New Roman"/>
          <w:sz w:val="24"/>
        </w:rPr>
        <w:t>overdiagnosis</w:t>
      </w:r>
      <w:proofErr w:type="spellEnd"/>
      <w:r w:rsidRPr="006F0394">
        <w:rPr>
          <w:rFonts w:ascii="Times New Roman" w:hAnsi="Times New Roman" w:cs="Times New Roman"/>
          <w:sz w:val="24"/>
        </w:rPr>
        <w:t xml:space="preserve"> in terms of disability and</w:t>
      </w:r>
      <w:r>
        <w:rPr>
          <w:rFonts w:ascii="Times New Roman" w:hAnsi="Times New Roman" w:cs="Times New Roman"/>
          <w:sz w:val="24"/>
        </w:rPr>
        <w:t xml:space="preserve"> morbidity is included as well.</w:t>
      </w:r>
    </w:p>
    <w:p w:rsidR="00723741" w:rsidRPr="006F0394"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Additionally, to analyze the costs of each screening strategy, the number of events was calculated and multiplied with their respective costs. The costs were based on Sankatsing et al. (2015)</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{"citationItems":[{"id":"ITEM-1","itemData":{"DOI":"10.1002/ijc.29572","ISSN":"1097-0215 (Electronic)","PMID":"25895135","abstract":"In the Netherlands, routine mammography screening starts at age 50. This starting age may have to be reconsidered because of the increasing breast cancer incidence among women aged 40 to 49 and the recent implementation of digital mammography. We assessed the cost-effectiveness of digital mammography screening that starts between age 40 and 49, using a microsimulation model. Women were screened before age 50, in addition to the current programme (biennial 50-74). Screening strategies varied in starting age (between 40 and 50) and frequency (annual or biennial). The numbers of breast cancers diagnosed, life-years gained (LYG) and breast cancer deaths averted were predicted and incremental cost-effectiveness ratios (ICERs) were calculated to compare screening scenarios. Biennial screening from age 50 to 74 (current strategy) was estimated to gain 157 life years per 1,000 women with lifelong follow-up, compared to a situation without screening, and cost euro3,376/LYG (3.5% discounted). Additional screening increased the number of LYG, compared to no screening, ranging from 168 to 242. The costs to generate one additional LYG (i.e., ICER), comparing a screening strategy to the less intensive alternative, were estimated at euro5,329 (biennial 48-74 vs. current strategy), euro7,628 (biennial 45-74 vs. biennial 48-74), euro10,826 (biennial 40-74 vs. biennial 45-74) and euro18,759 (annual 40-49 + biennial 50-74 vs. biennial 40-74). Other strategies (49 + biennial 50-74 and annual 45-49 + biennial 50-74) resulted in less favourable ICERs. These findings show that extending the Dutch screening programme by screening between age 40 and 49 is cost-effective, particularly for biennial strategies.","author":[{"dropping-particle":"V","family":"Sankatsing","given":"Valerie D","non-dropping-particle":"","parse-names":false,"suffix":""},{"dropping-particle":"","family":"Heijnsdijk","given":"Eveline A M","non-dropping-particle":"","parse-names":false,"suffix":""},{"dropping-particle":"","family":"Luijt","given":"Paula A","non-dropping-particle":"van","parse-names":false,"suffix":""},{"dropping-particle":"","family":"Ravesteyn","given":"Nicolien T","non-dropping-particle":"van","parse-names":false,"suffix":""},{"dropping-particle":"","family":"Fracheboud","given":"Jacques","non-dropping-particle":"","parse-names":false,"suffix":""},{"dropping-particle":"","family":"Koning","given":"Harry J","non-dropping-particle":"de","parse-names":false,"suffix":""}],"container-title":"International journal of cancer","id":"ITEM-1","issue":"8","issued":{"date-parts":[["2015","10"]]},"language":"eng","page":"1990-1999","publisher-place":"United States","title":"Cost-effectiveness of digital mammography screening before the age of 50 in The Netherlands.","type":"article-journal","volume":"137"},"uris":["http://www.mendeley.com/documents/?uuid=163caed3-d6fe-47ae-a9d2-45c6dc35c5b2"]}],"mendeley":{"formattedCitation":"&lt;sup&gt;1&lt;/sup&gt;","plainTextFormattedCitation":"1","previouslyFormattedCitation":"&lt;sup&gt;1&lt;/sup&gt;"},"properties":{"noteIndex":0},"schema":"https://github.com/citation-style-language/schema/raw/master/csl-citation.json"}</w:instrText>
      </w:r>
      <w:r>
        <w:rPr>
          <w:rFonts w:ascii="Times New Roman" w:hAnsi="Times New Roman" w:cs="Times New Roman"/>
          <w:sz w:val="24"/>
        </w:rPr>
        <w:fldChar w:fldCharType="separate"/>
      </w:r>
      <w:r w:rsidRPr="00EB53BE">
        <w:rPr>
          <w:rFonts w:ascii="Times New Roman" w:hAnsi="Times New Roman" w:cs="Times New Roman"/>
          <w:noProof/>
          <w:sz w:val="24"/>
          <w:vertAlign w:val="superscript"/>
        </w:rPr>
        <w:t>1</w:t>
      </w:r>
      <w:r>
        <w:rPr>
          <w:rFonts w:ascii="Times New Roman" w:hAnsi="Times New Roman" w:cs="Times New Roman"/>
          <w:sz w:val="24"/>
        </w:rPr>
        <w:fldChar w:fldCharType="end"/>
      </w:r>
      <w:r w:rsidRPr="006F0394">
        <w:rPr>
          <w:rFonts w:ascii="Times New Roman" w:hAnsi="Times New Roman" w:cs="Times New Roman"/>
          <w:sz w:val="24"/>
        </w:rPr>
        <w:t xml:space="preserve">, and were €65 for screening, €160 for biopsy, €9,000 for </w:t>
      </w:r>
      <w:r>
        <w:rPr>
          <w:rFonts w:ascii="Times New Roman" w:hAnsi="Times New Roman" w:cs="Times New Roman"/>
          <w:sz w:val="24"/>
        </w:rPr>
        <w:t>lumpectomy/</w:t>
      </w:r>
      <w:r w:rsidRPr="006F0394">
        <w:rPr>
          <w:rFonts w:ascii="Times New Roman" w:hAnsi="Times New Roman" w:cs="Times New Roman"/>
          <w:sz w:val="24"/>
        </w:rPr>
        <w:t>mastectomy</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{"citationItems":[{"id":"ITEM-1","itemData":{"DOI":"10.1093/jnci/djt203","ISSN":"1460-2105 (Electronic)","PMID":"23940285","abstract":"BACKGROUND: To reduce mortality, women with a family history of breast cancer are often screened with mammography before age 50 years. Additional magnetic resonance imaging (MRI) improves sensitivity and is cost-effective for BRCA1/2 mutation carriers. However, for women with a family history without a proven mutation, cost-effectiveness is unclear. METHODS: We evaluated data of the largest prospective MRI screening study (MRISC). Between 1999 and 2007, 1597 women (8370 woman-years at risk) aged 25 to 70 years with an estimated cumulative lifetime risk of 15% to 50% for breast cancer were screened with clinical breast examination every 6 months and with annual mammography and MRI. We calculated the cost per detected and treated breast cancer. After incorporating MRISC data into a microsimulation screening analysis model (MISCAN), different schemes were evaluated, and cost per life-year gained (LYG) was estimated in comparison with the Dutch nationwide breast cancer screening program (biennial mammography from age 50 to 75 years). All statistical tests were two-sided. RESULTS: Forty-seven breast cancers (9 ductal carcinoma in situ) were detected. Screening with additional MRI costs $123 672 (euro93 639) per detected breast cancer. In increasing age-cohorts, costs per detected and treated breast cancer decreased, but, unexpectedly, the percentage of MRI-only detected cancers increased. Screening under the MRISC-scheme from age 35 to 50 years was estimated to reduce breast cancer mortality by 25% at $134 932 (euro102 164) per LYG (3.5% discounting) compared with 17% mortality reduction at $54 665 (euro41 390) per LYG with mammography only. CONCLUSIONS: Screening with MRI may improve survival for women with familial risk for breast cancer but is expensive, especially in the youngest age categories.","author":[{"dropping-particle":"","family":"Saadatmand","given":"Sepideh","non-dropping-particle":"","parse-names":false,"suffix":""},{"dropping-particle":"","family":"Tilanus-Linthorst","given":"Madeleine M A","non-dropping-particle":"","parse-names":false,"suffix":""},{"dropping-particle":"","family":"Rutgers","given":"Emiel J T","non-dropping-particle":"","parse-names":false,"suffix":""},{"dropping-particle":"","family":"Hoogerbrugge","given":"Nicoline","non-dropping-particle":"","parse-names":false,"suffix":""},{"dropping-particle":"","family":"Oosterwijk","given":"Jan C","non-dropping-particle":"","parse-names":false,"suffix":""},{"dropping-particle":"","family":"Tollenaar","given":"Rob A E M","non-dropping-particle":"","parse-names":false,"suffix":""},{"dropping-particle":"","family":"Hooning","given":"Maartje","non-dropping-particle":"","parse-names":false,"suffix":""},{"dropping-particle":"","family":"Loo","given":"Claudette E","non-dropping-particle":"","parse-names":false,"suffix":""},{"dropping-particle":"","family":"Obdeijn","given":"Inge-Marie","non-dropping-particle":"","parse-names":false,"suffix":""},{"dropping-particle":"","family":"Heijnsdijk","given":"Eveline A M","non-dropping-particle":"","parse-names":false,"suffix":""},{"dropping-particle":"","family":"Koning","given":"Harry J","non-dropping-particle":"de","parse-names":false,"suffix":""}],"container-title":"Journal of the National Cancer Institute","id":"ITEM-1","issue":"17","issued":{"date-parts":[["2013","9"]]},"language":"eng","page":"1314-1321","publisher-place":"United States","title":"Cost-effectiveness of screening women with familial risk for breast cancer with magnetic resonance imaging.","type":"article-journal","volume":"105"},"uris":["http://www.mendeley.com/documents/?uuid=2cde73ce-a856-4c13-89de-698274bd14ba"]}],"mendeley":{"formattedCitation":"&lt;sup&gt;23&lt;/sup&gt;","plainTextFormattedCitation":"23","previouslyFormattedCitation":"&lt;sup&gt;23&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23</w:t>
      </w:r>
      <w:r>
        <w:rPr>
          <w:rFonts w:ascii="Times New Roman" w:hAnsi="Times New Roman" w:cs="Times New Roman"/>
          <w:sz w:val="24"/>
        </w:rPr>
        <w:fldChar w:fldCharType="end"/>
      </w:r>
      <w:r w:rsidRPr="006F0394">
        <w:rPr>
          <w:rFonts w:ascii="Times New Roman" w:hAnsi="Times New Roman" w:cs="Times New Roman"/>
          <w:sz w:val="24"/>
        </w:rPr>
        <w:t>, €6,000 for controlled breast cancer, €16,000 for metastatic breast cancer and €18,000 for death from breast cancer (including palliative care). Women who went to several stages had the sum of the costs in those stages.</w:t>
      </w:r>
    </w:p>
    <w:p w:rsidR="00723741" w:rsidRPr="006F0394" w:rsidRDefault="00723741" w:rsidP="00723741">
      <w:pPr>
        <w:pStyle w:val="Heading2-Manuscript"/>
        <w:spacing w:line="276" w:lineRule="auto"/>
      </w:pPr>
      <w:r w:rsidRPr="006F0394">
        <w:t xml:space="preserve">Outcomes </w:t>
      </w:r>
    </w:p>
    <w:p w:rsidR="00723741"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 xml:space="preserve">To estimate DALYs for each screening strategy, YLLs were calculated by multiplying the number of estimated breast cancer deaths </w:t>
      </w:r>
      <w:r>
        <w:rPr>
          <w:rFonts w:ascii="Times New Roman" w:hAnsi="Times New Roman" w:cs="Times New Roman"/>
          <w:sz w:val="24"/>
        </w:rPr>
        <w:t>in 5–year age groups</w:t>
      </w:r>
      <w:r w:rsidRPr="006F0394">
        <w:rPr>
          <w:rFonts w:ascii="Times New Roman" w:hAnsi="Times New Roman" w:cs="Times New Roman"/>
          <w:sz w:val="24"/>
        </w:rPr>
        <w:t xml:space="preserve"> with the respective </w:t>
      </w:r>
      <w:r>
        <w:rPr>
          <w:rFonts w:ascii="Times New Roman" w:hAnsi="Times New Roman" w:cs="Times New Roman"/>
          <w:sz w:val="24"/>
        </w:rPr>
        <w:t xml:space="preserve">remaining </w:t>
      </w:r>
      <w:r w:rsidRPr="006F0394">
        <w:rPr>
          <w:rFonts w:ascii="Times New Roman" w:hAnsi="Times New Roman" w:cs="Times New Roman"/>
          <w:sz w:val="24"/>
        </w:rPr>
        <w:t xml:space="preserve">life-expectancy at </w:t>
      </w:r>
      <w:r>
        <w:rPr>
          <w:rFonts w:ascii="Times New Roman" w:hAnsi="Times New Roman" w:cs="Times New Roman"/>
          <w:sz w:val="24"/>
        </w:rPr>
        <w:t xml:space="preserve">that </w:t>
      </w:r>
      <w:r w:rsidRPr="006F0394">
        <w:rPr>
          <w:rFonts w:ascii="Times New Roman" w:hAnsi="Times New Roman" w:cs="Times New Roman"/>
          <w:sz w:val="24"/>
        </w:rPr>
        <w:t>age</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{"citationItems":[{"id":"ITEM-1","itemData":{"URL":"http://apps.who.int/gho/data/?theme=main&amp;vid=61160","abstract":"World Health Organization. Global Health Observatory (GHO): the data repository. Geneva: WHO; 2014. [ Links ]","accessed":{"date-parts":[["2019","2","9"]]},"author":[{"dropping-particle":"","family":"World Health Organization","given":"","non-dropping-particle":"","parse-names":false,"suffix":""}],"container-title":"World Health Organization","id":"ITEM-1","issued":{"date-parts":[["2014"]]},"title":"Global Health Observatory (GHO): the data repository","type":"webpage"},"uris":["http://www.mendeley.com/documents/?uuid=6b63e6cf-6674-403e-98a4-749f61eeb7fa"]}],"mendeley":{"formattedCitation":"&lt;sup&gt;20&lt;/sup&gt;","plainTextFormattedCitation":"20","previouslyFormattedCitation":"&lt;sup&gt;20&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20</w:t>
      </w:r>
      <w:r>
        <w:rPr>
          <w:rFonts w:ascii="Times New Roman" w:hAnsi="Times New Roman" w:cs="Times New Roman"/>
          <w:sz w:val="24"/>
        </w:rPr>
        <w:fldChar w:fldCharType="end"/>
      </w:r>
      <w:r w:rsidRPr="006F0394">
        <w:rPr>
          <w:rFonts w:ascii="Times New Roman" w:hAnsi="Times New Roman" w:cs="Times New Roman"/>
          <w:sz w:val="24"/>
        </w:rPr>
        <w:t xml:space="preserve"> The YLDs for each health state were calculated by multiplying the time spent in that health state with the number of women who </w:t>
      </w:r>
      <w:r>
        <w:rPr>
          <w:rFonts w:ascii="Times New Roman" w:hAnsi="Times New Roman" w:cs="Times New Roman"/>
          <w:sz w:val="24"/>
        </w:rPr>
        <w:t>went through that health state –</w:t>
      </w:r>
      <w:r w:rsidRPr="006F0394">
        <w:rPr>
          <w:rFonts w:ascii="Times New Roman" w:hAnsi="Times New Roman" w:cs="Times New Roman"/>
          <w:sz w:val="24"/>
        </w:rPr>
        <w:t xml:space="preserve"> provided by the MISCAN model </w:t>
      </w:r>
      <w:r>
        <w:rPr>
          <w:rFonts w:ascii="Times New Roman" w:hAnsi="Times New Roman" w:cs="Times New Roman"/>
          <w:sz w:val="24"/>
        </w:rPr>
        <w:t>–</w:t>
      </w:r>
      <w:r w:rsidRPr="006F0394">
        <w:rPr>
          <w:rFonts w:ascii="Times New Roman" w:hAnsi="Times New Roman" w:cs="Times New Roman"/>
          <w:sz w:val="24"/>
        </w:rPr>
        <w:t xml:space="preserve"> and with the specific disability weight. The sum of all health state-specific YLDs represents the total YLDs of one screening strategy. The sum of the total YLDs and YLLs produced the DALYs for th</w:t>
      </w:r>
      <w:r>
        <w:rPr>
          <w:rFonts w:ascii="Times New Roman" w:hAnsi="Times New Roman" w:cs="Times New Roman"/>
          <w:sz w:val="24"/>
        </w:rPr>
        <w:t>at specific screening strategy</w:t>
      </w:r>
    </w:p>
    <w:p w:rsidR="00723741" w:rsidRPr="006F0394"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lastRenderedPageBreak/>
        <w:t>QALYs were calculated by following all life histories and multiplying the time spent in a specific health state with its score of 1</w:t>
      </w:r>
      <w:r>
        <w:rPr>
          <w:rFonts w:ascii="Times New Roman" w:hAnsi="Times New Roman" w:cs="Times New Roman"/>
          <w:sz w:val="24"/>
        </w:rPr>
        <w:t xml:space="preserve"> –</w:t>
      </w:r>
      <w:r w:rsidRPr="006F0394">
        <w:rPr>
          <w:rFonts w:ascii="Times New Roman" w:hAnsi="Times New Roman" w:cs="Times New Roman"/>
          <w:sz w:val="24"/>
        </w:rPr>
        <w:t xml:space="preserve"> </w:t>
      </w:r>
      <w:proofErr w:type="spellStart"/>
      <w:r w:rsidRPr="006F0394">
        <w:rPr>
          <w:rFonts w:ascii="Times New Roman" w:hAnsi="Times New Roman" w:cs="Times New Roman"/>
          <w:sz w:val="24"/>
        </w:rPr>
        <w:t>HRQoL</w:t>
      </w:r>
      <w:proofErr w:type="spellEnd"/>
      <w:r w:rsidRPr="006F0394">
        <w:rPr>
          <w:rFonts w:ascii="Times New Roman" w:hAnsi="Times New Roman" w:cs="Times New Roman"/>
          <w:sz w:val="24"/>
        </w:rPr>
        <w:t xml:space="preserve"> utility (disutility) and the number of women who went through that health state. Finally, these calculation methods were implemented for each screening strategy and the results were compared to the reference strategy (no screening) to calculate DALYs averted and QALYs gained (Appendix 4 presents an example of the calculation</w:t>
      </w:r>
      <w:r>
        <w:rPr>
          <w:rFonts w:ascii="Times New Roman" w:hAnsi="Times New Roman" w:cs="Times New Roman"/>
          <w:sz w:val="24"/>
        </w:rPr>
        <w:t xml:space="preserve"> of DALYs and QALYs</w:t>
      </w:r>
      <w:r w:rsidRPr="006F0394">
        <w:rPr>
          <w:rFonts w:ascii="Times New Roman" w:hAnsi="Times New Roman" w:cs="Times New Roman"/>
          <w:sz w:val="24"/>
        </w:rPr>
        <w:t>).</w:t>
      </w:r>
    </w:p>
    <w:p w:rsidR="00723741" w:rsidRPr="006F0394" w:rsidRDefault="00723741" w:rsidP="00723741">
      <w:pPr>
        <w:pStyle w:val="Heading2-Manuscript"/>
        <w:spacing w:line="276" w:lineRule="auto"/>
      </w:pPr>
      <w:r w:rsidRPr="006F0394">
        <w:t>Cost-effectiveness analysis</w:t>
      </w:r>
    </w:p>
    <w:p w:rsidR="00723741"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 xml:space="preserve">The net costs for each strategy were defined as the difference between the total costs of the strategy and the costs of the reference strategy. </w:t>
      </w:r>
      <w:r>
        <w:rPr>
          <w:rFonts w:ascii="Times New Roman" w:hAnsi="Times New Roman" w:cs="Times New Roman"/>
          <w:sz w:val="24"/>
        </w:rPr>
        <w:t>We conducted analyses with 3% annual discount for costs and effects as recommended by WHO</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{"citationItems":[{"id":"ITEM-1","itemData":{"author":[{"dropping-particle":"","family":"Baltussen","given":"Rob M P M","non-dropping-particle":"","parse-names":false,"suffix":""},{"dropping-particle":"","family":"Adam","given":"Taghreed","non-dropping-particle":"","parse-names":false,"suffix":""},{"dropping-particle":"","family":"Tan-Torres Edejer","given":"Tessa","non-dropping-particle":"","parse-names":false,"suffix":""},{"dropping-particle":"","family":"Hutubessy","given":"Raymond C W","non-dropping-particle":"","parse-names":false,"suffix":""},{"dropping-particle":"","family":"Acharya","given":"Arnab","non-dropping-particle":"","parse-names":false,"suffix":""},{"dropping-particle":"","family":"Evans","given":"David B","non-dropping-particle":"","parse-names":false,"suffix":""},{"dropping-particle":"","family":"Murray","given":"Christopher J L","non-dropping-particle":"","parse-names":false,"suffix":""},{"dropping-particle":"","family":"WHO-CHOICE","given":"","non-dropping-particle":"","parse-names":false,"suffix":""}],"id":"ITEM-1","issued":{"date-parts":[["2003"]]},"number-of-pages":"CD-ROM on front fly-leaf","publisher":"World Health Organization","title":"Making choices in health : WHO guide to cost-effectiveness analysis / edited by T. Tan-Torres Edejer ... [et al]","type":"report"},"uris":["http://www.mendeley.com/documents/?uuid=210e8b28-30f2-4c23-8b52-fdb7b3a92bf2"]}],"mendeley":{"formattedCitation":"&lt;sup&gt;24&lt;/sup&gt;","plainTextFormattedCitation":"24","previouslyFormattedCitation":"&lt;sup&gt;24&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24</w:t>
      </w:r>
      <w:r>
        <w:rPr>
          <w:rFonts w:ascii="Times New Roman" w:hAnsi="Times New Roman" w:cs="Times New Roman"/>
          <w:sz w:val="24"/>
        </w:rPr>
        <w:fldChar w:fldCharType="end"/>
      </w:r>
      <w:r>
        <w:rPr>
          <w:rFonts w:ascii="Times New Roman" w:hAnsi="Times New Roman" w:cs="Times New Roman"/>
          <w:sz w:val="24"/>
        </w:rPr>
        <w:t xml:space="preserve">, which means that costs and effects in the future will count less than current costs and effects. Undiscounted results are presented in the Supplement (Appendix 5). </w:t>
      </w:r>
      <w:r w:rsidRPr="006F0394">
        <w:rPr>
          <w:rFonts w:ascii="Times New Roman" w:hAnsi="Times New Roman" w:cs="Times New Roman"/>
          <w:sz w:val="24"/>
        </w:rPr>
        <w:t>Finally,</w:t>
      </w:r>
      <w:r>
        <w:rPr>
          <w:rFonts w:ascii="Times New Roman" w:hAnsi="Times New Roman" w:cs="Times New Roman"/>
          <w:sz w:val="24"/>
        </w:rPr>
        <w:t xml:space="preserve"> we identified the efficient frontier of non-dominated strategies and calculated incremental cost-effectiveness ratio (ICERs) among these strategies.</w:t>
      </w:r>
      <w:r w:rsidRPr="006F0394">
        <w:rPr>
          <w:rFonts w:ascii="Times New Roman" w:hAnsi="Times New Roman" w:cs="Times New Roman"/>
          <w:sz w:val="24"/>
        </w:rPr>
        <w:t xml:space="preserve"> We assumed the ICER </w:t>
      </w:r>
      <w:r w:rsidRPr="00973DEA">
        <w:rPr>
          <w:rFonts w:ascii="Times New Roman" w:hAnsi="Times New Roman" w:cs="Times New Roman"/>
          <w:sz w:val="24"/>
        </w:rPr>
        <w:t>threshold</w:t>
      </w:r>
      <w:r w:rsidRPr="006F0394">
        <w:rPr>
          <w:rFonts w:ascii="Times New Roman" w:hAnsi="Times New Roman" w:cs="Times New Roman"/>
          <w:sz w:val="24"/>
        </w:rPr>
        <w:t xml:space="preserve"> of €20,000 per QALY gained</w:t>
      </w:r>
      <w:r>
        <w:rPr>
          <w:rFonts w:ascii="Times New Roman" w:hAnsi="Times New Roman" w:cs="Times New Roman"/>
          <w:sz w:val="24"/>
        </w:rPr>
        <w:t xml:space="preserve">, recommended by the </w:t>
      </w:r>
      <w:r w:rsidRPr="00A635C8">
        <w:rPr>
          <w:rFonts w:ascii="Times New Roman" w:hAnsi="Times New Roman" w:cs="Times New Roman"/>
          <w:sz w:val="24"/>
          <w:lang w:val="en-GB"/>
        </w:rPr>
        <w:t>Health Council of the Netherlands</w:t>
      </w:r>
      <w:r>
        <w:rPr>
          <w:rFonts w:ascii="Times New Roman" w:hAnsi="Times New Roman" w:cs="Times New Roman"/>
          <w:sz w:val="24"/>
          <w:lang w:val="en-GB"/>
        </w:rPr>
        <w:t>.</w:t>
      </w:r>
      <w:r>
        <w:rPr>
          <w:rFonts w:ascii="Times New Roman" w:hAnsi="Times New Roman" w:cs="Times New Roman"/>
          <w:sz w:val="24"/>
          <w:lang w:val="en-GB"/>
        </w:rPr>
        <w:fldChar w:fldCharType="begin" w:fldLock="1"/>
      </w:r>
      <w:r>
        <w:rPr>
          <w:rFonts w:ascii="Times New Roman" w:hAnsi="Times New Roman" w:cs="Times New Roman"/>
          <w:sz w:val="24"/>
          <w:lang w:val="en-GB"/>
        </w:rPr>
        <w:instrText>ADDIN CSL_CITATION {"citationItems":[{"id":"ITEM-1","itemData":{"author":[{"dropping-particle":"","family":"Zorginstituut Nederland","given":"","non-dropping-particle":"","parse-names":false,"suffix":""}],"id":"ITEM-1","issued":{"date-parts":[["2015"]]},"title":"Cost-effectiveness in practice","type":"report"},"uris":["http://www.mendeley.com/documents/?uuid=0b9da1ba-a036-4f58-acce-3f1331a45e3e"]}],"mendeley":{"formattedCitation":"&lt;sup&gt;25&lt;/sup&gt;","plainTextFormattedCitation":"25","previouslyFormattedCitation":"&lt;sup&gt;25&lt;/sup&gt;"},"properties":{"noteIndex":0},"schema":"https://github.com/citation-style-language/schema/raw/master/csl-citation.json"}</w:instrText>
      </w:r>
      <w:r>
        <w:rPr>
          <w:rFonts w:ascii="Times New Roman" w:hAnsi="Times New Roman" w:cs="Times New Roman"/>
          <w:sz w:val="24"/>
          <w:lang w:val="en-GB"/>
        </w:rPr>
        <w:fldChar w:fldCharType="separate"/>
      </w:r>
      <w:r w:rsidRPr="00E81F29">
        <w:rPr>
          <w:rFonts w:ascii="Times New Roman" w:hAnsi="Times New Roman" w:cs="Times New Roman"/>
          <w:noProof/>
          <w:sz w:val="24"/>
          <w:vertAlign w:val="superscript"/>
          <w:lang w:val="en-GB"/>
        </w:rPr>
        <w:t>25</w:t>
      </w:r>
      <w:r>
        <w:rPr>
          <w:rFonts w:ascii="Times New Roman" w:hAnsi="Times New Roman" w:cs="Times New Roman"/>
          <w:sz w:val="24"/>
          <w:lang w:val="en-GB"/>
        </w:rPr>
        <w:fldChar w:fldCharType="end"/>
      </w:r>
      <w:r>
        <w:rPr>
          <w:rFonts w:ascii="Times New Roman" w:hAnsi="Times New Roman" w:cs="Times New Roman"/>
          <w:sz w:val="24"/>
        </w:rPr>
        <w:t xml:space="preserve"> For the purpose of our study and simplification of comparison between these two measures, we assumed an equal threshold for both QALY gained and DALY averted analysis.</w:t>
      </w:r>
    </w:p>
    <w:p w:rsidR="00723741" w:rsidRPr="0025550E" w:rsidRDefault="00723741" w:rsidP="00723741">
      <w:pPr>
        <w:pStyle w:val="Heading1-Manuscript"/>
        <w:spacing w:line="276" w:lineRule="auto"/>
      </w:pPr>
      <w:r w:rsidRPr="0025550E">
        <w:t>RESULTS</w:t>
      </w:r>
    </w:p>
    <w:p w:rsidR="00723741" w:rsidRPr="006F0394"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The least intensive screening strategy considered (</w:t>
      </w:r>
      <w:r>
        <w:rPr>
          <w:rFonts w:ascii="Times New Roman" w:hAnsi="Times New Roman" w:cs="Times New Roman"/>
          <w:sz w:val="24"/>
        </w:rPr>
        <w:t>T</w:t>
      </w:r>
      <w:r w:rsidRPr="006F0394">
        <w:rPr>
          <w:rFonts w:ascii="Times New Roman" w:hAnsi="Times New Roman" w:cs="Times New Roman"/>
          <w:sz w:val="24"/>
        </w:rPr>
        <w:t>50</w:t>
      </w:r>
      <w:r>
        <w:rPr>
          <w:rFonts w:ascii="Times New Roman" w:hAnsi="Times New Roman" w:cs="Times New Roman"/>
          <w:sz w:val="24"/>
        </w:rPr>
        <w:t>-</w:t>
      </w:r>
      <w:r w:rsidRPr="006F0394">
        <w:rPr>
          <w:rFonts w:ascii="Times New Roman" w:hAnsi="Times New Roman" w:cs="Times New Roman"/>
          <w:sz w:val="24"/>
        </w:rPr>
        <w:t xml:space="preserve">69) led to </w:t>
      </w:r>
      <w:r>
        <w:rPr>
          <w:rFonts w:ascii="Times New Roman" w:hAnsi="Times New Roman" w:cs="Times New Roman"/>
          <w:sz w:val="24"/>
        </w:rPr>
        <w:t>additional 46.00</w:t>
      </w:r>
      <w:r w:rsidRPr="006F0394">
        <w:rPr>
          <w:rFonts w:ascii="Times New Roman" w:hAnsi="Times New Roman" w:cs="Times New Roman"/>
          <w:sz w:val="24"/>
        </w:rPr>
        <w:t xml:space="preserve"> DALYs averted</w:t>
      </w:r>
      <w:r>
        <w:rPr>
          <w:rFonts w:ascii="Times New Roman" w:hAnsi="Times New Roman" w:cs="Times New Roman"/>
          <w:sz w:val="24"/>
        </w:rPr>
        <w:t xml:space="preserve"> and 28.69</w:t>
      </w:r>
      <w:r w:rsidRPr="006F0394">
        <w:rPr>
          <w:rFonts w:ascii="Times New Roman" w:hAnsi="Times New Roman" w:cs="Times New Roman"/>
          <w:sz w:val="24"/>
        </w:rPr>
        <w:t xml:space="preserve"> QALYs gained per 1,000 women (Table 2). The most expensive strategy</w:t>
      </w:r>
      <w:r>
        <w:rPr>
          <w:rFonts w:ascii="Times New Roman" w:hAnsi="Times New Roman" w:cs="Times New Roman"/>
          <w:sz w:val="24"/>
        </w:rPr>
        <w:t xml:space="preserve"> is </w:t>
      </w:r>
      <w:r w:rsidRPr="006F0394">
        <w:rPr>
          <w:rFonts w:ascii="Times New Roman" w:hAnsi="Times New Roman" w:cs="Times New Roman"/>
          <w:sz w:val="24"/>
        </w:rPr>
        <w:t xml:space="preserve">annual screening from age 45 to </w:t>
      </w:r>
      <w:r>
        <w:rPr>
          <w:rFonts w:ascii="Times New Roman" w:hAnsi="Times New Roman" w:cs="Times New Roman"/>
          <w:sz w:val="24"/>
        </w:rPr>
        <w:t>74</w:t>
      </w:r>
      <w:r w:rsidRPr="006F0394">
        <w:rPr>
          <w:rFonts w:ascii="Times New Roman" w:hAnsi="Times New Roman" w:cs="Times New Roman"/>
          <w:sz w:val="24"/>
        </w:rPr>
        <w:t xml:space="preserve"> years</w:t>
      </w:r>
      <w:r>
        <w:rPr>
          <w:rFonts w:ascii="Times New Roman" w:hAnsi="Times New Roman" w:cs="Times New Roman"/>
          <w:sz w:val="24"/>
        </w:rPr>
        <w:t>, which averted 105.58 DALYs and gained 64.50 QALYs per 1,000 women.</w:t>
      </w:r>
    </w:p>
    <w:p w:rsidR="00723741" w:rsidRPr="006F0394" w:rsidRDefault="00723741" w:rsidP="00723741">
      <w:pPr>
        <w:ind w:left="360"/>
        <w:jc w:val="both"/>
        <w:rPr>
          <w:rFonts w:ascii="Times New Roman" w:hAnsi="Times New Roman" w:cs="Times New Roman"/>
          <w:sz w:val="24"/>
        </w:rPr>
      </w:pPr>
      <w:bookmarkStart w:id="3" w:name="_Hlk488341163"/>
      <w:r w:rsidRPr="006F0394">
        <w:rPr>
          <w:rFonts w:ascii="Times New Roman" w:hAnsi="Times New Roman" w:cs="Times New Roman"/>
          <w:sz w:val="24"/>
        </w:rPr>
        <w:t>Figure 2 depicts the relation between DALY averted or QALY gained and the net costs for each screening strategy.</w:t>
      </w:r>
      <w:r>
        <w:rPr>
          <w:rFonts w:ascii="Times New Roman" w:hAnsi="Times New Roman" w:cs="Times New Roman"/>
          <w:sz w:val="24"/>
        </w:rPr>
        <w:t xml:space="preserve"> For DALYs there were five strategies on the efficiency frontier (T50-69, T50-74, T45-74, BB45-74 and A45-74). The same strategies plus one (B45-72) were on the efficiency frontier for QALYs</w:t>
      </w:r>
      <w:r w:rsidRPr="00E61065">
        <w:rPr>
          <w:rFonts w:ascii="Times New Roman" w:hAnsi="Times New Roman" w:cs="Times New Roman"/>
          <w:color w:val="auto"/>
          <w:sz w:val="24"/>
        </w:rPr>
        <w:t xml:space="preserve">. </w:t>
      </w:r>
      <w:r>
        <w:rPr>
          <w:rFonts w:ascii="Times New Roman" w:hAnsi="Times New Roman" w:cs="Times New Roman"/>
          <w:color w:val="auto"/>
          <w:sz w:val="24"/>
        </w:rPr>
        <w:t xml:space="preserve">The </w:t>
      </w:r>
      <w:r w:rsidRPr="006F0394">
        <w:rPr>
          <w:rFonts w:ascii="Times New Roman" w:hAnsi="Times New Roman" w:cs="Times New Roman"/>
          <w:sz w:val="24"/>
        </w:rPr>
        <w:t>ICERs ranged between €</w:t>
      </w:r>
      <w:r>
        <w:rPr>
          <w:rFonts w:ascii="Times New Roman" w:hAnsi="Times New Roman" w:cs="Times New Roman"/>
          <w:sz w:val="24"/>
        </w:rPr>
        <w:t>1,222</w:t>
      </w:r>
      <w:r w:rsidRPr="006F0394">
        <w:rPr>
          <w:rFonts w:ascii="Times New Roman" w:hAnsi="Times New Roman" w:cs="Times New Roman"/>
          <w:sz w:val="24"/>
        </w:rPr>
        <w:t xml:space="preserve"> and €</w:t>
      </w:r>
      <w:r>
        <w:rPr>
          <w:rFonts w:ascii="Times New Roman" w:hAnsi="Times New Roman" w:cs="Times New Roman"/>
          <w:sz w:val="24"/>
        </w:rPr>
        <w:t xml:space="preserve">9,883 </w:t>
      </w:r>
      <w:r w:rsidRPr="006F0394">
        <w:rPr>
          <w:rFonts w:ascii="Times New Roman" w:hAnsi="Times New Roman" w:cs="Times New Roman"/>
          <w:sz w:val="24"/>
        </w:rPr>
        <w:t>per each DALY averted, and between €</w:t>
      </w:r>
      <w:r>
        <w:rPr>
          <w:rFonts w:ascii="Times New Roman" w:hAnsi="Times New Roman" w:cs="Times New Roman"/>
          <w:sz w:val="24"/>
        </w:rPr>
        <w:t xml:space="preserve">1,960 </w:t>
      </w:r>
      <w:r w:rsidRPr="006F0394">
        <w:rPr>
          <w:rFonts w:ascii="Times New Roman" w:hAnsi="Times New Roman" w:cs="Times New Roman"/>
          <w:sz w:val="24"/>
        </w:rPr>
        <w:t>and €</w:t>
      </w:r>
      <w:r>
        <w:rPr>
          <w:rFonts w:ascii="Times New Roman" w:hAnsi="Times New Roman" w:cs="Times New Roman"/>
          <w:sz w:val="24"/>
        </w:rPr>
        <w:t xml:space="preserve">15,899 </w:t>
      </w:r>
      <w:r w:rsidRPr="006F0394">
        <w:rPr>
          <w:rFonts w:ascii="Times New Roman" w:hAnsi="Times New Roman" w:cs="Times New Roman"/>
          <w:sz w:val="24"/>
        </w:rPr>
        <w:t xml:space="preserve">per each QALY gained (Table 3). Therefore, assuming an ICER threshold of </w:t>
      </w:r>
      <w:r w:rsidRPr="004F1018">
        <w:rPr>
          <w:rFonts w:ascii="Times New Roman" w:hAnsi="Times New Roman" w:cs="Times New Roman"/>
          <w:sz w:val="24"/>
        </w:rPr>
        <w:t>€20,000</w:t>
      </w:r>
      <w:r w:rsidRPr="006F0394">
        <w:rPr>
          <w:rFonts w:ascii="Times New Roman" w:hAnsi="Times New Roman" w:cs="Times New Roman"/>
          <w:sz w:val="24"/>
        </w:rPr>
        <w:t xml:space="preserve"> per DALY averted or QALY gained, all evaluated screening strategies can be considered cost-effective</w:t>
      </w:r>
      <w:r>
        <w:rPr>
          <w:rFonts w:ascii="Times New Roman" w:hAnsi="Times New Roman" w:cs="Times New Roman"/>
          <w:sz w:val="24"/>
        </w:rPr>
        <w:t xml:space="preserve"> and the most intensive scenario, screening annually from 45 to 74 years old, can be considered as optimal.</w:t>
      </w:r>
    </w:p>
    <w:p w:rsidR="00723741" w:rsidRPr="006F0394" w:rsidRDefault="00723741" w:rsidP="00723741">
      <w:pPr>
        <w:pStyle w:val="Heading1-Manuscript"/>
        <w:spacing w:line="276" w:lineRule="auto"/>
      </w:pPr>
      <w:r w:rsidRPr="006F0394">
        <w:t>DISCUSSION</w:t>
      </w:r>
    </w:p>
    <w:p w:rsidR="00723741"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Both DALYs averted and QALYs gained increased with expanding age limits for screening. The lowest results, in both DALYs averted and QALYs gained, were in the strategy with the shortest period of screening (</w:t>
      </w:r>
      <w:r>
        <w:rPr>
          <w:rFonts w:ascii="Times New Roman" w:hAnsi="Times New Roman" w:cs="Times New Roman"/>
          <w:sz w:val="24"/>
        </w:rPr>
        <w:t>T</w:t>
      </w:r>
      <w:r w:rsidRPr="006F0394">
        <w:rPr>
          <w:rFonts w:ascii="Times New Roman" w:hAnsi="Times New Roman" w:cs="Times New Roman"/>
          <w:sz w:val="24"/>
        </w:rPr>
        <w:t>50 to 69). The screening strategy with the biggest age interval and the highest screening frequency (A45-74</w:t>
      </w:r>
      <w:r>
        <w:rPr>
          <w:rFonts w:ascii="Times New Roman" w:hAnsi="Times New Roman" w:cs="Times New Roman"/>
          <w:sz w:val="24"/>
        </w:rPr>
        <w:t>)</w:t>
      </w:r>
      <w:r w:rsidRPr="006F0394">
        <w:rPr>
          <w:rFonts w:ascii="Times New Roman" w:hAnsi="Times New Roman" w:cs="Times New Roman"/>
          <w:sz w:val="24"/>
        </w:rPr>
        <w:t xml:space="preserve"> had the highest impact on life-years gained</w:t>
      </w:r>
      <w:r w:rsidRPr="006F0394">
        <w:rPr>
          <w:rFonts w:ascii="Times New Roman" w:hAnsi="Times New Roman" w:cs="Times New Roman"/>
          <w:i/>
          <w:sz w:val="24"/>
        </w:rPr>
        <w:t xml:space="preserve">, </w:t>
      </w:r>
      <w:r w:rsidRPr="006F0394">
        <w:rPr>
          <w:rFonts w:ascii="Times New Roman" w:hAnsi="Times New Roman" w:cs="Times New Roman"/>
          <w:sz w:val="24"/>
        </w:rPr>
        <w:t xml:space="preserve">regardless of </w:t>
      </w:r>
      <w:r>
        <w:rPr>
          <w:rFonts w:ascii="Times New Roman" w:hAnsi="Times New Roman" w:cs="Times New Roman"/>
          <w:sz w:val="24"/>
        </w:rPr>
        <w:t>measure used</w:t>
      </w:r>
      <w:r w:rsidRPr="006F0394">
        <w:rPr>
          <w:rFonts w:ascii="Times New Roman" w:hAnsi="Times New Roman" w:cs="Times New Roman"/>
          <w:sz w:val="24"/>
        </w:rPr>
        <w:t>. However, by increasing the age range or frequency of screening, the costs increase</w:t>
      </w:r>
      <w:r>
        <w:rPr>
          <w:rFonts w:ascii="Times New Roman" w:hAnsi="Times New Roman" w:cs="Times New Roman"/>
          <w:sz w:val="24"/>
        </w:rPr>
        <w:t>d</w:t>
      </w:r>
      <w:r w:rsidRPr="006F0394">
        <w:rPr>
          <w:rFonts w:ascii="Times New Roman" w:hAnsi="Times New Roman" w:cs="Times New Roman"/>
          <w:sz w:val="24"/>
        </w:rPr>
        <w:t xml:space="preserve"> as well, consequently making this the most expensive strategy. All ICERs were below the cost-effectiveness threshold of €20,000 per additional QALY gained</w:t>
      </w:r>
      <w:r>
        <w:rPr>
          <w:rFonts w:ascii="Times New Roman" w:hAnsi="Times New Roman" w:cs="Times New Roman"/>
          <w:sz w:val="24"/>
        </w:rPr>
        <w:t xml:space="preserve"> or DALY averted</w:t>
      </w:r>
      <w:r w:rsidRPr="006F0394">
        <w:rPr>
          <w:rFonts w:ascii="Times New Roman" w:hAnsi="Times New Roman" w:cs="Times New Roman"/>
          <w:sz w:val="24"/>
        </w:rPr>
        <w:t xml:space="preserve">. </w:t>
      </w:r>
      <w:r>
        <w:rPr>
          <w:rFonts w:ascii="Times New Roman" w:hAnsi="Times New Roman" w:cs="Times New Roman"/>
          <w:sz w:val="24"/>
        </w:rPr>
        <w:t xml:space="preserve">In our analyses, the most cost-effective strategy in both DALY and QALY analyses, is annual screening from 45 to 74 (A45-74), with an </w:t>
      </w:r>
      <w:r>
        <w:rPr>
          <w:rFonts w:ascii="Times New Roman" w:hAnsi="Times New Roman" w:cs="Times New Roman"/>
          <w:sz w:val="24"/>
        </w:rPr>
        <w:lastRenderedPageBreak/>
        <w:t xml:space="preserve">ICER of €9,883 per DALY averted and €15,899 per QALY gained. </w:t>
      </w:r>
      <w:r w:rsidRPr="001A67A8">
        <w:rPr>
          <w:rFonts w:ascii="Times New Roman" w:hAnsi="Times New Roman" w:cs="Times New Roman"/>
          <w:sz w:val="24"/>
          <w:szCs w:val="24"/>
          <w:lang w:val="en-GB"/>
        </w:rPr>
        <w:t xml:space="preserve">Although almost the same strategies </w:t>
      </w:r>
      <w:r>
        <w:rPr>
          <w:rFonts w:ascii="Times New Roman" w:hAnsi="Times New Roman" w:cs="Times New Roman"/>
          <w:sz w:val="24"/>
          <w:szCs w:val="24"/>
          <w:lang w:val="en-GB"/>
        </w:rPr>
        <w:t>we</w:t>
      </w:r>
      <w:r w:rsidRPr="001A67A8">
        <w:rPr>
          <w:rFonts w:ascii="Times New Roman" w:hAnsi="Times New Roman" w:cs="Times New Roman"/>
          <w:sz w:val="24"/>
          <w:szCs w:val="24"/>
          <w:lang w:val="en-GB"/>
        </w:rPr>
        <w:t xml:space="preserve">re on the efficiency frontier for DALYs and QALYs, the ICERs </w:t>
      </w:r>
      <w:r>
        <w:rPr>
          <w:rFonts w:ascii="Times New Roman" w:hAnsi="Times New Roman" w:cs="Times New Roman"/>
          <w:sz w:val="24"/>
          <w:szCs w:val="24"/>
          <w:lang w:val="en-GB"/>
        </w:rPr>
        <w:t>we</w:t>
      </w:r>
      <w:r w:rsidRPr="001A67A8">
        <w:rPr>
          <w:rFonts w:ascii="Times New Roman" w:hAnsi="Times New Roman" w:cs="Times New Roman"/>
          <w:sz w:val="24"/>
          <w:szCs w:val="24"/>
          <w:lang w:val="en-GB"/>
        </w:rPr>
        <w:t>re different. Therefore, when choosing another threshold or simulating more intensive protocols, the cost-effective strategy might differ between DALYs and QALYs</w:t>
      </w:r>
      <w:r>
        <w:rPr>
          <w:rFonts w:ascii="Times New Roman" w:hAnsi="Times New Roman" w:cs="Times New Roman"/>
          <w:sz w:val="24"/>
        </w:rPr>
        <w:t>.</w:t>
      </w:r>
    </w:p>
    <w:p w:rsidR="00723741" w:rsidRDefault="00723741" w:rsidP="00723741">
      <w:pPr>
        <w:ind w:left="360"/>
        <w:jc w:val="both"/>
        <w:rPr>
          <w:rFonts w:ascii="Times New Roman" w:hAnsi="Times New Roman" w:cs="Times New Roman"/>
          <w:sz w:val="24"/>
        </w:rPr>
      </w:pPr>
      <w:r>
        <w:rPr>
          <w:rFonts w:ascii="Times New Roman" w:hAnsi="Times New Roman" w:cs="Times New Roman"/>
          <w:sz w:val="24"/>
        </w:rPr>
        <w:t>The costs per QALY are lower from results published elsewhere.</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{"citationItems":[{"id":"ITEM-1","itemData":{"DOI":"10.1002/ijc.30513","ISSN":"1097-0215 (Electronic)","PMID":"27861849","abstract":"The Norwegian Breast Cancer Screening Programme (NBCSP) has a nation-wide coverage since 2005. All women aged 50-69 years are invited biennially for mammography screening. We evaluated breast cancer mortality reduction and performed a cost-effectiveness analysis, using our microsimulation model, calibrated to most recent data. The microsimulation model allows for the comparison of mortality and costs between a (hypothetical) situation without screening and a situation with screening. Breast cancer incidence in Norway had a steep increase in the early 1990s. We calibrated the model to simulate this increase and included recent costs for screening, diagnosis and treatment of breast cancer and travel and productivity loss. We estimate a 16% breast cancer mortality reduction for a cohort of women, invited to screening, followed over their complete lifetime. Cost-effectiveness is estimated at NOK 112,162 per QALY gained, when taking only direct medical costs into account (the cost of the buses, examinations, and invitations). We used a 3.5% annual discount rate. Cost-effectiveness estimates are substantially below the threshold of NOK 1,926,366 as recommended by the WHO guidelines. For the Norwegian population, which has been gradually exposed to screening, breast cancer mortality reduction for women exposed to screening is increasing and is estimated to rise to approximately 30% in 2020 for women aged 55-80 years. The NBCSP is a highly cost-effective measure to reduce breast cancer specific mortality. We estimate a breast cancer specific mortality reduction of 16-30%, at the cost of 112,162 NOK per QALY gained.","author":[{"dropping-particle":"","family":"Luijt","given":"P A","non-dropping-particle":"van","parse-names":false,"suffix":""},{"dropping-particle":"","family":"Heijnsdijk","given":"E A M","non-dropping-particle":"","parse-names":false,"suffix":""},{"dropping-particle":"","family":"Koning","given":"H J","non-dropping-particle":"de","parse-names":false,"suffix":""}],"container-title":"International journal of cancer","id":"ITEM-1","issue":"4","issued":{"date-parts":[["2017","2"]]},"language":"eng","page":"833-840","publisher-place":"United States","title":"Cost-effectiveness of the Norwegian breast cancer screening program.","type":"article-journal","volume":"140"},"uris":["http://www.mendeley.com/documents/?uuid=25b0668c-aea3-40a5-8741-f1c7beaf8998"]},{"id":"ITEM-2","itemData":{"ISSN":"2251-6085 (Print)","PMID":"23785673","abstract":"BACKGROUND: Breast cancer is the leading cause of malignancy among women. Screening using mammography is proposed as an effective intervention for reducing early deaths due to breast cancer. We conducted a systematic review to assess the cost-effectiveness of such screening programs. We searched Medline, Scopus and Google Scholar and complemented it by other searches using sensitive search terms from 1993-2010. We screened the titles and abstracts, assessed the full texts of the remaining studies, and extracted data to a pre-designed data extraction sheet. Studies were categorized according to the age groups of the target population. We used narrative synthesis approaches for analyzing the data. Twenty-eight articles met the minimum inclusion criteria, mostly from high income settings. All studies used secondary data, and a variety of modeling techniques, age groups, screening intervals and outcome measures. Cost per life year gained, ranging from $1,634 (once at the age of 50 in India) to $65,000 (extending the lower age limit of screening to 40 Australian study), was the most commonly used outcome measure. Biennial screening test for those aged 50-70 years seems to be the most cost-effective option ($2685). Biennial screening for aged 50-70 years is the most cost-effective option among alternative scenarios. Screening those aged less than 50 is not recommended. Further studies in low-income and middle-income countries, and cost effectiveness studies along with randomized trials are required. To improve the comparability of the findings, future studies should include biennial screening in 50-70 age groups as an alternative strategy.","author":[{"dropping-particle":"","family":"Rashidian","given":"Arash","non-dropping-particle":"","parse-names":false,"suffix":""},{"dropping-particle":"","family":"Barfar","given":"Eshagh","non-dropping-particle":"","parse-names":false,"suffix":""},{"dropping-particle":"","family":"Hosseini","given":"Hamed","non-dropping-particle":"","parse-names":false,"suffix":""},{"dropping-particle":"","family":"Nosratnejad","given":"Shirin","non-dropping-particle":"","parse-names":false,"suffix":""},{"dropping-particle":"","family":"Barooti","given":"Esmat","non-dropping-particle":"","parse-names":false,"suffix":""}],"container-title":"Iranian journal of public health","id":"ITEM-2","issue":"4","issued":{"date-parts":[["2013"]]},"language":"eng","page":"347-357","publisher-place":"Iran","title":"Cost effectiveness of breast cancer screening using mammography; a systematic review.","type":"article-journal","volume":"42"},"uris":["http://www.mendeley.com/documents/?uuid=73f6629e-aea8-44ef-90e1-c4397c665b3b"]},{"id":"ITEM-3","itemData":{"DOI":"10.9778/cmajo.20170106","ISSN":"2291-0026 (Print)","PMID":"29440151","abstract":"BACKGROUND: The implementation of population-wide breast cancer screening programs has important budget implications. We evaluated the cost-effectiveness of various breast cancer screening scenarios in Canada from a publicly funded health care system perspective using an established breast cancer simulation model. METHODS: Breast cancer incidence, outcomes and total health care system costs (screening, investigation, diagnosis and treatment) for the Canadian health care environment were modelled. The model predicted costs (in 2012 dollars), life-years gained and quality-adjusted life-years (QALYs) gained for 11 active screening scenarios that varied by age range for starting and stopping screening (40-74 yr) and frequency of screening (annual, biennial or triennial) relative to no screening. All outcomes were discounted. Marginal and incremental cost-effectiveness analyses were conducted. One-way sensitivity analyses of key parameters assessed robustness. RESULTS: The lifetime overall costs (undiscounted) to the health care system for annual screening per 1000 women ranged from $7.4 million (for women aged 50-69 yr) to $10.7 million (40-74 yr). For biennial and triennial screening per 1000 women (aged 50-74 yr), costs were less, at about $6.1 million and $5.3 million, respectively. The incremental cost-utility ratio varied from $36981/QALY for triennial screening in women aged 50-69 versus no screening to $38142/QALY for biennial screening in those aged 50-69 and $83 845/QALY for annual screening in those aged 40-74. INTERPRETATION: Our economic analysis showed that both benefits of mortality reduction and costs rose together linearly with the number of lifetime screens per women. The decision on how to screen is related mainly to willingness to pay and additional considerations such as the number of women recalled after a positive screening result.","author":[{"dropping-particle":"","family":"Mittmann","given":"Nicole","non-dropping-particle":"","parse-names":false,"suffix":""},{"dropping-particle":"","family":"Stout","given":"Natasha K","non-dropping-particle":"","parse-names":false,"suffix":""},{"dropping-particle":"","family":"Tosteson","given":"Anna N A","non-dropping-particle":"","parse-names":false,"suffix":""},{"dropping-particle":"","family":"Trentham-Dietz","given":"Amy","non-dropping-particle":"","parse-names":false,"suffix":""},{"dropping-particle":"","family":"Alagoz","given":"Oguzhan","non-dropping-particle":"","parse-names":false,"suffix":""},{"dropping-particle":"","family":"Yaffe","given":"Martin J","non-dropping-particle":"","parse-names":false,"suffix":""}],"container-title":"CMAJ open","id":"ITEM-3","issue":"1","issued":{"date-parts":[["2018","2"]]},"language":"eng","page":"E77-E86","publisher-place":"Canada","title":"Cost-effectiveness of mammography from a publicly funded health care system perspective.","type":"article-journal","volume":"6"},"uris":["http://www.mendeley.com/documents/?uuid=c6235fc7-54ab-4a34-9e44-af12c14ed7e7"]}],"mendeley":{"formattedCitation":"&lt;sup&gt;4,26,27&lt;/sup&gt;","plainTextFormattedCitation":"4,26,27","previouslyFormattedCitation":"&lt;sup&gt;4,26,27&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4,26,27</w:t>
      </w:r>
      <w:r>
        <w:rPr>
          <w:rFonts w:ascii="Times New Roman" w:hAnsi="Times New Roman" w:cs="Times New Roman"/>
          <w:sz w:val="24"/>
        </w:rPr>
        <w:fldChar w:fldCharType="end"/>
      </w:r>
      <w:r>
        <w:rPr>
          <w:rFonts w:ascii="Times New Roman" w:hAnsi="Times New Roman" w:cs="Times New Roman"/>
          <w:sz w:val="24"/>
        </w:rPr>
        <w:t xml:space="preserve"> However, these discrepancies in cost-effectiveness estimates between our results and results reported by others can be explained by variations in screening and treatment costs (the Dutch costs are comparably low), annual discount rate, geographical settings and simulated screening strategies. In comparison with a previous cost-effectiveness study performed with the same model</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{"citationItems":[{"id":"ITEM-1","itemData":{"DOI":"10.1002/ijc.29572","ISSN":"1097-0215 (Electronic)","PMID":"25895135","abstract":"In the Netherlands, routine mammography screening starts at age 50. This starting age may have to be reconsidered because of the increasing breast cancer incidence among women aged 40 to 49 and the recent implementation of digital mammography. We assessed the cost-effectiveness of digital mammography screening that starts between age 40 and 49, using a microsimulation model. Women were screened before age 50, in addition to the current programme (biennial 50-74). Screening strategies varied in starting age (between 40 and 50) and frequency (annual or biennial). The numbers of breast cancers diagnosed, life-years gained (LYG) and breast cancer deaths averted were predicted and incremental cost-effectiveness ratios (ICERs) were calculated to compare screening scenarios. Biennial screening from age 50 to 74 (current strategy) was estimated to gain 157 life years per 1,000 women with lifelong follow-up, compared to a situation without screening, and cost euro3,376/LYG (3.5% discounted). Additional screening increased the number of LYG, compared to no screening, ranging from 168 to 242. The costs to generate one additional LYG (i.e., ICER), comparing a screening strategy to the less intensive alternative, were estimated at euro5,329 (biennial 48-74 vs. current strategy), euro7,628 (biennial 45-74 vs. biennial 48-74), euro10,826 (biennial 40-74 vs. biennial 45-74) and euro18,759 (annual 40-49 + biennial 50-74 vs. biennial 40-74). Other strategies (49 + biennial 50-74 and annual 45-49 + biennial 50-74) resulted in less favourable ICERs. These findings show that extending the Dutch screening programme by screening between age 40 and 49 is cost-effective, particularly for biennial strategies.","author":[{"dropping-particle":"V","family":"Sankatsing","given":"Valerie D","non-dropping-particle":"","parse-names":false,"suffix":""},{"dropping-particle":"","family":"Heijnsdijk","given":"Eveline A M","non-dropping-particle":"","parse-names":false,"suffix":""},{"dropping-particle":"","family":"Luijt","given":"Paula A","non-dropping-particle":"van","parse-names":false,"suffix":""},{"dropping-particle":"","family":"Ravesteyn","given":"Nicolien T","non-dropping-particle":"van","parse-names":false,"suffix":""},{"dropping-particle":"","family":"Fracheboud","given":"Jacques","non-dropping-particle":"","parse-names":false,"suffix":""},{"dropping-particle":"","family":"Koning","given":"Harry J","non-dropping-particle":"de","parse-names":false,"suffix":""}],"container-title":"International journal of cancer","id":"ITEM-1","issue":"8","issued":{"date-parts":[["2015","10"]]},"language":"eng","page":"1990-1999","publisher-place":"United States","title":"Cost-effectiveness of digital mammography screening before the age of 50 in The Netherlands.","type":"article-journal","volume":"137"},"uris":["http://www.mendeley.com/documents/?uuid=163caed3-d6fe-47ae-a9d2-45c6dc35c5b2"]}],"mendeley":{"formattedCitation":"&lt;sup&gt;1&lt;/sup&gt;","plainTextFormattedCitation":"1","previouslyFormattedCitation":"&lt;sup&gt;1&lt;/sup&gt;"},"properties":{"noteIndex":0},"schema":"https://github.com/citation-style-language/schema/raw/master/csl-citation.json"}</w:instrText>
      </w:r>
      <w:r>
        <w:rPr>
          <w:rFonts w:ascii="Times New Roman" w:hAnsi="Times New Roman" w:cs="Times New Roman"/>
          <w:sz w:val="24"/>
        </w:rPr>
        <w:fldChar w:fldCharType="separate"/>
      </w:r>
      <w:r w:rsidRPr="00EB53BE">
        <w:rPr>
          <w:rFonts w:ascii="Times New Roman" w:hAnsi="Times New Roman" w:cs="Times New Roman"/>
          <w:noProof/>
          <w:sz w:val="24"/>
          <w:vertAlign w:val="superscript"/>
        </w:rPr>
        <w:t>1</w:t>
      </w:r>
      <w:r>
        <w:rPr>
          <w:rFonts w:ascii="Times New Roman" w:hAnsi="Times New Roman" w:cs="Times New Roman"/>
          <w:sz w:val="24"/>
        </w:rPr>
        <w:fldChar w:fldCharType="end"/>
      </w:r>
      <w:r>
        <w:rPr>
          <w:rFonts w:ascii="Times New Roman" w:hAnsi="Times New Roman" w:cs="Times New Roman"/>
          <w:sz w:val="24"/>
        </w:rPr>
        <w:t>, we used less detailed costs. The outcomes however, are comparable.</w:t>
      </w:r>
    </w:p>
    <w:p w:rsidR="00723741" w:rsidRPr="0064054A" w:rsidRDefault="00723741" w:rsidP="00723741">
      <w:pPr>
        <w:ind w:left="360"/>
        <w:jc w:val="both"/>
        <w:rPr>
          <w:rFonts w:ascii="Times New Roman" w:hAnsi="Times New Roman" w:cs="Times New Roman"/>
          <w:sz w:val="24"/>
          <w:szCs w:val="24"/>
        </w:rPr>
      </w:pPr>
      <w:r>
        <w:rPr>
          <w:rFonts w:ascii="Times New Roman" w:hAnsi="Times New Roman" w:cs="Times New Roman"/>
          <w:sz w:val="24"/>
        </w:rPr>
        <w:t>Interpreting and comparing our results using DALYs in cost-effectiveness analysis is challenging, because the DALY approach is used dominantly in evaluating the intervention costs in low- and middle-income countries, where population based mammography is not implemented. Additionally, our results show that t</w:t>
      </w:r>
      <w:r w:rsidRPr="006F0394">
        <w:rPr>
          <w:rFonts w:ascii="Times New Roman" w:hAnsi="Times New Roman" w:cs="Times New Roman"/>
          <w:sz w:val="24"/>
        </w:rPr>
        <w:t>he order of</w:t>
      </w:r>
      <w:r>
        <w:rPr>
          <w:rFonts w:ascii="Times New Roman" w:hAnsi="Times New Roman" w:cs="Times New Roman"/>
          <w:sz w:val="24"/>
        </w:rPr>
        <w:t xml:space="preserve"> screening</w:t>
      </w:r>
      <w:r w:rsidRPr="006F0394">
        <w:rPr>
          <w:rFonts w:ascii="Times New Roman" w:hAnsi="Times New Roman" w:cs="Times New Roman"/>
          <w:sz w:val="24"/>
        </w:rPr>
        <w:t xml:space="preserve"> strategies remained </w:t>
      </w:r>
      <w:r>
        <w:rPr>
          <w:rFonts w:ascii="Times New Roman" w:hAnsi="Times New Roman" w:cs="Times New Roman"/>
          <w:sz w:val="24"/>
        </w:rPr>
        <w:t xml:space="preserve">almost </w:t>
      </w:r>
      <w:r w:rsidRPr="006F0394">
        <w:rPr>
          <w:rFonts w:ascii="Times New Roman" w:hAnsi="Times New Roman" w:cs="Times New Roman"/>
          <w:sz w:val="24"/>
        </w:rPr>
        <w:t>the same</w:t>
      </w:r>
      <w:r>
        <w:rPr>
          <w:rFonts w:ascii="Times New Roman" w:hAnsi="Times New Roman" w:cs="Times New Roman"/>
          <w:sz w:val="24"/>
        </w:rPr>
        <w:t xml:space="preserve"> regardless using DALY or QALY approach</w:t>
      </w:r>
      <w:r w:rsidRPr="006F0394">
        <w:rPr>
          <w:rFonts w:ascii="Times New Roman" w:hAnsi="Times New Roman" w:cs="Times New Roman"/>
          <w:sz w:val="24"/>
        </w:rPr>
        <w:t xml:space="preserve">. However, there were differences between absolute estimates of DALYs averted and QALYs gained, because of differences in </w:t>
      </w:r>
      <w:r>
        <w:rPr>
          <w:rFonts w:ascii="Times New Roman" w:hAnsi="Times New Roman" w:cs="Times New Roman"/>
          <w:sz w:val="24"/>
        </w:rPr>
        <w:t>used</w:t>
      </w:r>
      <w:r w:rsidRPr="006F0394">
        <w:rPr>
          <w:rFonts w:ascii="Times New Roman" w:hAnsi="Times New Roman" w:cs="Times New Roman"/>
          <w:sz w:val="24"/>
        </w:rPr>
        <w:t xml:space="preserve"> </w:t>
      </w:r>
      <w:r>
        <w:rPr>
          <w:rFonts w:ascii="Times New Roman" w:hAnsi="Times New Roman" w:cs="Times New Roman"/>
          <w:sz w:val="24"/>
        </w:rPr>
        <w:t>utilities</w:t>
      </w:r>
      <w:r w:rsidRPr="006F0394">
        <w:rPr>
          <w:rFonts w:ascii="Times New Roman" w:hAnsi="Times New Roman" w:cs="Times New Roman"/>
          <w:sz w:val="24"/>
        </w:rPr>
        <w:t>. DALY for example does not incorporate disabilit</w:t>
      </w:r>
      <w:r>
        <w:rPr>
          <w:rFonts w:ascii="Times New Roman" w:hAnsi="Times New Roman" w:cs="Times New Roman"/>
          <w:sz w:val="24"/>
        </w:rPr>
        <w:t>ies</w:t>
      </w:r>
      <w:r w:rsidRPr="006F0394">
        <w:rPr>
          <w:rFonts w:ascii="Times New Roman" w:hAnsi="Times New Roman" w:cs="Times New Roman"/>
          <w:sz w:val="24"/>
        </w:rPr>
        <w:t xml:space="preserve"> from the </w:t>
      </w:r>
      <w:r w:rsidRPr="0064054A">
        <w:rPr>
          <w:rFonts w:ascii="Times New Roman" w:hAnsi="Times New Roman" w:cs="Times New Roman"/>
          <w:sz w:val="24"/>
          <w:szCs w:val="24"/>
        </w:rPr>
        <w:t xml:space="preserve">mammography and biopsy, whereas QALY do incorporate disutility from diagnosis and primary therapy. Also disability weights for having cancer were generally higher than the </w:t>
      </w:r>
      <w:proofErr w:type="spellStart"/>
      <w:r w:rsidRPr="0064054A">
        <w:rPr>
          <w:rFonts w:ascii="Times New Roman" w:hAnsi="Times New Roman" w:cs="Times New Roman"/>
          <w:sz w:val="24"/>
          <w:szCs w:val="24"/>
        </w:rPr>
        <w:t>disutilities</w:t>
      </w:r>
      <w:proofErr w:type="spellEnd"/>
      <w:r w:rsidRPr="0064054A">
        <w:rPr>
          <w:rFonts w:ascii="Times New Roman" w:hAnsi="Times New Roman" w:cs="Times New Roman"/>
          <w:sz w:val="24"/>
          <w:szCs w:val="24"/>
        </w:rPr>
        <w:t xml:space="preserve"> from having cancer. In order to test the effect of </w:t>
      </w:r>
      <w:proofErr w:type="spellStart"/>
      <w:r w:rsidRPr="0064054A">
        <w:rPr>
          <w:rFonts w:ascii="Times New Roman" w:hAnsi="Times New Roman" w:cs="Times New Roman"/>
          <w:sz w:val="24"/>
          <w:szCs w:val="24"/>
        </w:rPr>
        <w:t>disutilities</w:t>
      </w:r>
      <w:proofErr w:type="spellEnd"/>
      <w:r w:rsidRPr="0064054A">
        <w:rPr>
          <w:rFonts w:ascii="Times New Roman" w:hAnsi="Times New Roman" w:cs="Times New Roman"/>
          <w:sz w:val="24"/>
          <w:szCs w:val="24"/>
        </w:rPr>
        <w:t xml:space="preserve"> for each health state, </w:t>
      </w:r>
      <w:r w:rsidRPr="0064054A">
        <w:rPr>
          <w:rFonts w:ascii="Times New Roman" w:eastAsia="Times New Roman" w:hAnsi="Times New Roman" w:cs="Times New Roman"/>
          <w:sz w:val="24"/>
          <w:szCs w:val="24"/>
        </w:rPr>
        <w:t xml:space="preserve">we conducted a sensitivity analysis by replacing 1 – </w:t>
      </w:r>
      <w:proofErr w:type="spellStart"/>
      <w:r w:rsidRPr="0064054A">
        <w:rPr>
          <w:rFonts w:ascii="Times New Roman" w:eastAsia="Times New Roman" w:hAnsi="Times New Roman" w:cs="Times New Roman"/>
          <w:sz w:val="24"/>
          <w:szCs w:val="24"/>
        </w:rPr>
        <w:t>HRQoL</w:t>
      </w:r>
      <w:proofErr w:type="spellEnd"/>
      <w:r w:rsidRPr="0064054A">
        <w:rPr>
          <w:rFonts w:ascii="Times New Roman" w:eastAsia="Times New Roman" w:hAnsi="Times New Roman" w:cs="Times New Roman"/>
          <w:sz w:val="24"/>
          <w:szCs w:val="24"/>
        </w:rPr>
        <w:t xml:space="preserve"> </w:t>
      </w:r>
      <w:proofErr w:type="spellStart"/>
      <w:r w:rsidRPr="0064054A">
        <w:rPr>
          <w:rFonts w:ascii="Times New Roman" w:eastAsia="Times New Roman" w:hAnsi="Times New Roman" w:cs="Times New Roman"/>
          <w:sz w:val="24"/>
          <w:szCs w:val="24"/>
        </w:rPr>
        <w:t>disutilities</w:t>
      </w:r>
      <w:proofErr w:type="spellEnd"/>
      <w:r w:rsidRPr="0064054A">
        <w:rPr>
          <w:rFonts w:ascii="Times New Roman" w:eastAsia="Times New Roman" w:hAnsi="Times New Roman" w:cs="Times New Roman"/>
          <w:sz w:val="24"/>
          <w:szCs w:val="24"/>
        </w:rPr>
        <w:t xml:space="preserve"> with values used as </w:t>
      </w:r>
      <w:r w:rsidRPr="0064054A">
        <w:rPr>
          <w:rFonts w:ascii="Times New Roman" w:hAnsi="Times New Roman" w:cs="Times New Roman"/>
          <w:sz w:val="24"/>
          <w:szCs w:val="24"/>
        </w:rPr>
        <w:t>disability weights</w:t>
      </w:r>
      <w:r w:rsidRPr="0064054A">
        <w:rPr>
          <w:rFonts w:ascii="Times New Roman" w:eastAsia="Times New Roman" w:hAnsi="Times New Roman" w:cs="Times New Roman"/>
          <w:sz w:val="24"/>
          <w:szCs w:val="24"/>
        </w:rPr>
        <w:t xml:space="preserve"> for health states that overlapped (mastectomy; controlled breast cancer; metastatic breast cancer and terminal disease) or 0 (screening and biopsy). </w:t>
      </w:r>
      <w:r w:rsidRPr="0064054A">
        <w:rPr>
          <w:rFonts w:ascii="Times New Roman" w:hAnsi="Times New Roman" w:cs="Times New Roman"/>
          <w:sz w:val="24"/>
          <w:szCs w:val="24"/>
        </w:rPr>
        <w:t xml:space="preserve">Utilities were replaced one at a time, in both the reference strategy (no screening) and an exemplary strategy (B50-69), while other utilities remained the same (respective 1 – </w:t>
      </w:r>
      <w:proofErr w:type="spellStart"/>
      <w:r w:rsidRPr="0064054A">
        <w:rPr>
          <w:rFonts w:ascii="Times New Roman" w:hAnsi="Times New Roman" w:cs="Times New Roman"/>
          <w:sz w:val="24"/>
          <w:szCs w:val="24"/>
        </w:rPr>
        <w:t>HRQoL</w:t>
      </w:r>
      <w:proofErr w:type="spellEnd"/>
      <w:r w:rsidRPr="0064054A">
        <w:rPr>
          <w:rFonts w:ascii="Times New Roman" w:hAnsi="Times New Roman" w:cs="Times New Roman"/>
          <w:sz w:val="24"/>
          <w:szCs w:val="24"/>
        </w:rPr>
        <w:t xml:space="preserve"> disutility). The QALYs gained were sensitive to varying </w:t>
      </w:r>
      <w:proofErr w:type="spellStart"/>
      <w:r w:rsidRPr="0064054A">
        <w:rPr>
          <w:rFonts w:ascii="Times New Roman" w:hAnsi="Times New Roman" w:cs="Times New Roman"/>
          <w:sz w:val="24"/>
          <w:szCs w:val="24"/>
        </w:rPr>
        <w:t>disutilities</w:t>
      </w:r>
      <w:proofErr w:type="spellEnd"/>
      <w:r w:rsidRPr="0064054A">
        <w:rPr>
          <w:rFonts w:ascii="Times New Roman" w:hAnsi="Times New Roman" w:cs="Times New Roman"/>
          <w:sz w:val="24"/>
          <w:szCs w:val="24"/>
        </w:rPr>
        <w:t xml:space="preserve"> for controlled and metastatic breast cancer, whereas changing the </w:t>
      </w:r>
      <w:proofErr w:type="spellStart"/>
      <w:r w:rsidRPr="0064054A">
        <w:rPr>
          <w:rFonts w:ascii="Times New Roman" w:hAnsi="Times New Roman" w:cs="Times New Roman"/>
          <w:sz w:val="24"/>
          <w:szCs w:val="24"/>
        </w:rPr>
        <w:t>disutilities</w:t>
      </w:r>
      <w:proofErr w:type="spellEnd"/>
      <w:r w:rsidRPr="0064054A">
        <w:rPr>
          <w:rFonts w:ascii="Times New Roman" w:hAnsi="Times New Roman" w:cs="Times New Roman"/>
          <w:sz w:val="24"/>
          <w:szCs w:val="24"/>
        </w:rPr>
        <w:t xml:space="preserve"> for screening, biopsy and mastectomy hardly had any effect.</w:t>
      </w:r>
    </w:p>
    <w:p w:rsidR="00723741" w:rsidRPr="0064054A" w:rsidRDefault="00723741" w:rsidP="00723741">
      <w:pPr>
        <w:ind w:left="360"/>
        <w:jc w:val="both"/>
        <w:rPr>
          <w:rFonts w:ascii="Times New Roman" w:hAnsi="Times New Roman" w:cs="Times New Roman"/>
          <w:sz w:val="24"/>
          <w:szCs w:val="24"/>
        </w:rPr>
      </w:pPr>
      <w:r w:rsidRPr="0064054A">
        <w:rPr>
          <w:rFonts w:ascii="Times New Roman" w:hAnsi="Times New Roman" w:cs="Times New Roman"/>
          <w:sz w:val="24"/>
          <w:szCs w:val="24"/>
        </w:rPr>
        <w:t xml:space="preserve">Additionally, we tested the effect of varying all </w:t>
      </w:r>
      <w:proofErr w:type="spellStart"/>
      <w:r w:rsidRPr="0064054A">
        <w:rPr>
          <w:rFonts w:ascii="Times New Roman" w:hAnsi="Times New Roman" w:cs="Times New Roman"/>
          <w:sz w:val="24"/>
          <w:szCs w:val="24"/>
        </w:rPr>
        <w:t>disutilities</w:t>
      </w:r>
      <w:proofErr w:type="spellEnd"/>
      <w:r w:rsidRPr="0064054A">
        <w:rPr>
          <w:rFonts w:ascii="Times New Roman" w:hAnsi="Times New Roman" w:cs="Times New Roman"/>
          <w:sz w:val="24"/>
          <w:szCs w:val="24"/>
        </w:rPr>
        <w:t xml:space="preserve"> together by replacing the health </w:t>
      </w:r>
      <w:proofErr w:type="spellStart"/>
      <w:r w:rsidRPr="0064054A">
        <w:rPr>
          <w:rFonts w:ascii="Times New Roman" w:hAnsi="Times New Roman" w:cs="Times New Roman"/>
          <w:sz w:val="24"/>
          <w:szCs w:val="24"/>
        </w:rPr>
        <w:t>disutilities</w:t>
      </w:r>
      <w:proofErr w:type="spellEnd"/>
      <w:r w:rsidRPr="0064054A">
        <w:rPr>
          <w:rFonts w:ascii="Times New Roman" w:hAnsi="Times New Roman" w:cs="Times New Roman"/>
          <w:sz w:val="24"/>
          <w:szCs w:val="24"/>
        </w:rPr>
        <w:t xml:space="preserve"> (1 – </w:t>
      </w:r>
      <w:proofErr w:type="spellStart"/>
      <w:r w:rsidRPr="0064054A">
        <w:rPr>
          <w:rFonts w:ascii="Times New Roman" w:hAnsi="Times New Roman" w:cs="Times New Roman"/>
          <w:sz w:val="24"/>
          <w:szCs w:val="24"/>
        </w:rPr>
        <w:t>HRQoL</w:t>
      </w:r>
      <w:proofErr w:type="spellEnd"/>
      <w:r w:rsidRPr="0064054A">
        <w:rPr>
          <w:rFonts w:ascii="Times New Roman" w:hAnsi="Times New Roman" w:cs="Times New Roman"/>
          <w:sz w:val="24"/>
          <w:szCs w:val="24"/>
        </w:rPr>
        <w:t>) for mastectomy; controlled breast cancer; metastatic breast cancer; and terminal disease with corresponding disability weights in all screening strategies, including the no screening strategy, at the same time. Thus, we re-calculated the ICERs and identified the non-dominated strategies. Again, the same strategies, except one were on the efficiency frontier (Supplement Appendix 6).</w:t>
      </w:r>
    </w:p>
    <w:p w:rsidR="00723741" w:rsidRPr="0064054A" w:rsidRDefault="00723741" w:rsidP="00723741">
      <w:pPr>
        <w:ind w:left="360"/>
        <w:jc w:val="both"/>
        <w:rPr>
          <w:rFonts w:ascii="Times New Roman" w:hAnsi="Times New Roman" w:cs="Times New Roman"/>
          <w:sz w:val="24"/>
          <w:szCs w:val="24"/>
        </w:rPr>
      </w:pPr>
      <w:r w:rsidRPr="0064054A">
        <w:rPr>
          <w:rFonts w:ascii="Times New Roman" w:hAnsi="Times New Roman" w:cs="Times New Roman"/>
          <w:sz w:val="24"/>
          <w:szCs w:val="24"/>
        </w:rPr>
        <w:t xml:space="preserve">Therefore, in this breast cancer screening example, the difference between DALYs averted and QALYs gained was mainly caused by the difference in disability weights and </w:t>
      </w:r>
      <w:proofErr w:type="spellStart"/>
      <w:r w:rsidRPr="0064054A">
        <w:rPr>
          <w:rFonts w:ascii="Times New Roman" w:hAnsi="Times New Roman" w:cs="Times New Roman"/>
          <w:sz w:val="24"/>
          <w:szCs w:val="24"/>
        </w:rPr>
        <w:t>disutilities</w:t>
      </w:r>
      <w:proofErr w:type="spellEnd"/>
      <w:r w:rsidRPr="0064054A">
        <w:rPr>
          <w:rFonts w:ascii="Times New Roman" w:hAnsi="Times New Roman" w:cs="Times New Roman"/>
          <w:sz w:val="24"/>
          <w:szCs w:val="24"/>
        </w:rPr>
        <w:t xml:space="preserve"> for the controlled breast cancer state. The impact of utility used in such an analysis is previously reported as a major driver of differences between DALY and QALY measures.</w:t>
      </w:r>
      <w:r w:rsidRPr="0064054A">
        <w:rPr>
          <w:rFonts w:ascii="Times New Roman" w:hAnsi="Times New Roman" w:cs="Times New Roman"/>
          <w:sz w:val="24"/>
          <w:szCs w:val="24"/>
          <w:vertAlign w:val="superscript"/>
        </w:rPr>
        <w:fldChar w:fldCharType="begin" w:fldLock="1"/>
      </w:r>
      <w:r w:rsidRPr="0064054A">
        <w:rPr>
          <w:rFonts w:ascii="Times New Roman" w:hAnsi="Times New Roman" w:cs="Times New Roman"/>
          <w:sz w:val="24"/>
          <w:szCs w:val="24"/>
          <w:vertAlign w:val="superscript"/>
        </w:rPr>
        <w:instrText>ADDIN CSL_CITATION {"citationItems":[{"id":"ITEM-1","itemData":{"DOI":"10.1017/S0266462320000124","author":[{"dropping-particle":"","family":"Feng","given":"Xue","non-dropping-particle":"","parse-names":false,"suffix":""},{"dropping-particle":"","family":"Kim","given":"David D","non-dropping-particle":"","parse-names":false,"suffix":""},{"dropping-particle":"","family":"Cohen","given":"Joshua T","non-dropping-particle":"","parse-names":false,"suffix":""},{"dropping-particle":"","family":"Neumann","given":"Peter J","non-dropping-particle":"","parse-names":false,"suffix":""},{"dropping-particle":"","family":"Ollendorf","given":"Daniel A","non-dropping-particle":"","parse-names":false,"suffix":""}],"container-title":"International Journal of Technology Assessment in Health Care","id":"ITEM-1","issue":"2","issued":{"date-parts":[["2020"]]},"page":"96–103","publisher":"Cambridge University Press","title":"Using QALYs versus DALYs to measure cost-effectiveness: How much does it matter?","type":"article-journal","volume":"36"},"uris":["http://www.mendeley.com/documents/?uuid=f0f7868a-7640-46a8-950f-c13cc6b56c9d"]}],"mendeley":{"formattedCitation":"&lt;sup&gt;11&lt;/sup&gt;","plainTextFormattedCitation":"11","previouslyFormattedCitation":"&lt;sup&gt;11&lt;/sup&gt;"},"properties":{"noteIndex":0},"schema":"https://github.com/citation-style-language/schema/raw/master/csl-citation.json"}</w:instrText>
      </w:r>
      <w:r w:rsidRPr="0064054A">
        <w:rPr>
          <w:rFonts w:ascii="Times New Roman" w:hAnsi="Times New Roman" w:cs="Times New Roman"/>
          <w:sz w:val="24"/>
          <w:szCs w:val="24"/>
          <w:vertAlign w:val="superscript"/>
        </w:rPr>
        <w:fldChar w:fldCharType="separate"/>
      </w:r>
      <w:r w:rsidRPr="0064054A">
        <w:rPr>
          <w:rFonts w:ascii="Times New Roman" w:hAnsi="Times New Roman" w:cs="Times New Roman"/>
          <w:sz w:val="24"/>
          <w:szCs w:val="24"/>
          <w:vertAlign w:val="superscript"/>
        </w:rPr>
        <w:t>11</w:t>
      </w:r>
      <w:r w:rsidRPr="0064054A">
        <w:rPr>
          <w:rFonts w:ascii="Times New Roman" w:hAnsi="Times New Roman" w:cs="Times New Roman"/>
          <w:sz w:val="24"/>
          <w:szCs w:val="24"/>
          <w:vertAlign w:val="superscript"/>
        </w:rPr>
        <w:fldChar w:fldCharType="end"/>
      </w:r>
    </w:p>
    <w:p w:rsidR="00723741" w:rsidRPr="006F0394"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lastRenderedPageBreak/>
        <w:t xml:space="preserve">When interpreting the results of our study, some limitations are noteworthy. Firstly, we only considered two stages </w:t>
      </w:r>
      <w:r>
        <w:rPr>
          <w:rFonts w:ascii="Times New Roman" w:hAnsi="Times New Roman" w:cs="Times New Roman"/>
          <w:sz w:val="24"/>
        </w:rPr>
        <w:t>of</w:t>
      </w:r>
      <w:r w:rsidRPr="006F0394">
        <w:rPr>
          <w:rFonts w:ascii="Times New Roman" w:hAnsi="Times New Roman" w:cs="Times New Roman"/>
          <w:sz w:val="24"/>
        </w:rPr>
        <w:t xml:space="preserve"> breast cancer: metastatic stage and controlled breast cancer (all stages except metastatic stage). To provide a more sophisticated analysis, additional research should investigate a more precise estimate for disability by</w:t>
      </w:r>
      <w:r>
        <w:rPr>
          <w:rFonts w:ascii="Times New Roman" w:hAnsi="Times New Roman" w:cs="Times New Roman"/>
          <w:sz w:val="24"/>
        </w:rPr>
        <w:t xml:space="preserve"> cancer</w:t>
      </w:r>
      <w:r w:rsidRPr="006F0394">
        <w:rPr>
          <w:rFonts w:ascii="Times New Roman" w:hAnsi="Times New Roman" w:cs="Times New Roman"/>
          <w:sz w:val="24"/>
        </w:rPr>
        <w:t xml:space="preserve"> stage. Secondly, to estimate DALYs and YLLs in our analys</w:t>
      </w:r>
      <w:r>
        <w:rPr>
          <w:rFonts w:ascii="Times New Roman" w:hAnsi="Times New Roman" w:cs="Times New Roman"/>
          <w:sz w:val="24"/>
        </w:rPr>
        <w:t>i</w:t>
      </w:r>
      <w:r w:rsidRPr="006F0394">
        <w:rPr>
          <w:rFonts w:ascii="Times New Roman" w:hAnsi="Times New Roman" w:cs="Times New Roman"/>
          <w:sz w:val="24"/>
        </w:rPr>
        <w:t>s, we followed the same method as used in the GBD study</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{"citationItems":[{"id":"ITEM-1","itemData":{"ISSN":"1010-7940","PMID":"2268438","abstract":"Global Burden of Disease Collaborative Network. Global Burden of Disease Study 2016 (GBD 2016) Results. Seattle, United States: Institute for Health Metrics and Evaluation (IHME), 2017. Available from http://ghdx.healthdata.org/gbd-results-tool.","author":[{"dropping-particle":"","family":"Institute for Health Metrics and Evaluation","given":"","non-dropping-particle":"","parse-names":false,"suffix":""}],"container-title":"Global Burden of Disease Collaborative Network","id":"ITEM-1","issued":{"date-parts":[["2017"]]},"title":"Global Burden of Disease Study 2016 (GBD 2016) Results","type":"article-journal"},"uris":["http://www.mendeley.com/documents/?uuid=3f28ff9d-b3c1-4c50-bb7c-02f87893a5f5"]}],"mendeley":{"formattedCitation":"&lt;sup&gt;15&lt;/sup&gt;","plainTextFormattedCitation":"15","previouslyFormattedCitation":"&lt;sup&gt;15&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15</w:t>
      </w:r>
      <w:r>
        <w:rPr>
          <w:rFonts w:ascii="Times New Roman" w:hAnsi="Times New Roman" w:cs="Times New Roman"/>
          <w:sz w:val="24"/>
        </w:rPr>
        <w:fldChar w:fldCharType="end"/>
      </w:r>
      <w:r w:rsidRPr="006F0394">
        <w:rPr>
          <w:rFonts w:ascii="Times New Roman" w:hAnsi="Times New Roman" w:cs="Times New Roman"/>
          <w:sz w:val="24"/>
        </w:rPr>
        <w:t>, except the remaining life expectancy. We used country-specific remaining life expectancy for each age provided by the World Health Organization (WHO)</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{"citationItems":[{"id":"ITEM-1","itemData":{"URL":"http://apps.who.int/gho/data/?theme=main&amp;vid=61160","abstract":"World Health Organization. Global Health Observatory (GHO): the data repository. Geneva: WHO; 2014. [ Links ]","accessed":{"date-parts":[["2019","2","9"]]},"author":[{"dropping-particle":"","family":"World Health Organization","given":"","non-dropping-particle":"","parse-names":false,"suffix":""}],"container-title":"World Health Organization","id":"ITEM-1","issued":{"date-parts":[["2014"]]},"title":"Global Health Observatory (GHO): the data repository","type":"webpage"},"uris":["http://www.mendeley.com/documents/?uuid=6b63e6cf-6674-403e-98a4-749f61eeb7fa"]}],"mendeley":{"formattedCitation":"&lt;sup&gt;20&lt;/sup&gt;","plainTextFormattedCitation":"20","previouslyFormattedCitation":"&lt;sup&gt;20&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20</w:t>
      </w:r>
      <w:r>
        <w:rPr>
          <w:rFonts w:ascii="Times New Roman" w:hAnsi="Times New Roman" w:cs="Times New Roman"/>
          <w:sz w:val="24"/>
        </w:rPr>
        <w:fldChar w:fldCharType="end"/>
      </w:r>
      <w:r w:rsidRPr="006F0394">
        <w:rPr>
          <w:rFonts w:ascii="Times New Roman" w:hAnsi="Times New Roman" w:cs="Times New Roman"/>
          <w:sz w:val="24"/>
        </w:rPr>
        <w:t xml:space="preserve"> which are slightly lower than the life expectancy used in the GBD study. Therefore, when we compared the DALYs and DALYs averted from our analysis with the GBD study results, there were slight differences. We believe the country-specific life expectancy provided by the WHO reflects our cohort more precisely. Thirdly, co-morbidity was not considered in our model analysis. A remaining challenge for disability and disutility weighting is adjusting for co-morbidities and co-disabilities</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{"citationItems":[{"id":"ITEM-1","itemData":{"ISSN":"1209-1367 (Electronic)","PMID":"26676235","abstract":"BACKGROUND: Breast cancer screening technology and treatment have improved over the past decade. This analysis evaluates the total cost-effectiveness of various breast cancer screening strategies in Canada. DATA AND METHODS: Using the Wisconsin Cancer Intervention and Surveillance Monitoring Network (CISNET) breast cancer simulation model adapted to the Canadian context, costs and quality-adjusted life years (QALY) were evaluated for 11 mammography screening strategies that varied by start/stop age and screening frequency for the general population. Incremental cost-effectiveness ratios are presented, and sensitivity analyses are used to assess the robustness of model conclusions. RESULTS: Incremental cost-effectiveness analysis showed that triennial screening at ages 50 to 69 was the most cost-effective at $94,762 per QALY. Biennial ($97,006 per QALY) and annual ($226,278 per QALY) strategies had higher incremental ratios. INTERPRETATION: The benefits and costs of screening rise with the number of screens per woman. Decisions about screening strategies may be influenced by willingness to pay and the rate of recall for further examination after positive screens.","author":[{"dropping-particle":"","family":"Mittmann","given":"Nicole","non-dropping-particle":"","parse-names":false,"suffix":""},{"dropping-particle":"","family":"Stout","given":"Natasha K","non-dropping-particle":"","parse-names":false,"suffix":""},{"dropping-particle":"","family":"Lee","given":"Pablo","non-dropping-particle":"","parse-names":false,"suffix":""},{"dropping-particle":"","family":"Tosteson","given":"Anna N A","non-dropping-particle":"","parse-names":false,"suffix":""},{"dropping-particle":"","family":"Trentham-Dietz","given":"Amy","non-dropping-particle":"","parse-names":false,"suffix":""},{"dropping-particle":"","family":"Alagoz","given":"Oguzhan","non-dropping-particle":"","parse-names":false,"suffix":""},{"dropping-particle":"","family":"Yaffe","given":"Martin J","non-dropping-particle":"","parse-names":false,"suffix":""}],"container-title":"Health reports","id":"ITEM-1","issue":"12","issued":{"date-parts":[["2015","12"]]},"language":"eng","page":"16-25","publisher-place":"Canada","title":"Total cost-effectiveness of mammography screening strategies.","type":"article-journal","volume":"26"},"uris":["http://www.mendeley.com/documents/?uuid=5bf68f71-5454-4b02-9386-06b3734d1d1c"]}],"mendeley":{"formattedCitation":"&lt;sup&gt;28&lt;/sup&gt;","plainTextFormattedCitation":"28","previouslyFormattedCitation":"&lt;sup&gt;28&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28</w:t>
      </w:r>
      <w:r>
        <w:rPr>
          <w:rFonts w:ascii="Times New Roman" w:hAnsi="Times New Roman" w:cs="Times New Roman"/>
          <w:sz w:val="24"/>
        </w:rPr>
        <w:fldChar w:fldCharType="end"/>
      </w:r>
      <w:r w:rsidRPr="006F0394">
        <w:rPr>
          <w:rFonts w:ascii="Times New Roman" w:hAnsi="Times New Roman" w:cs="Times New Roman"/>
          <w:sz w:val="24"/>
        </w:rPr>
        <w:t xml:space="preserve"> Finally, since data sources including stage distribution and treatment approaches were not available, the simplifying assumption</w:t>
      </w:r>
      <w:r>
        <w:rPr>
          <w:rFonts w:ascii="Times New Roman" w:hAnsi="Times New Roman" w:cs="Times New Roman"/>
          <w:sz w:val="24"/>
        </w:rPr>
        <w:t>s</w:t>
      </w:r>
      <w:r w:rsidRPr="006F0394">
        <w:rPr>
          <w:rFonts w:ascii="Times New Roman" w:hAnsi="Times New Roman" w:cs="Times New Roman"/>
          <w:sz w:val="24"/>
        </w:rPr>
        <w:t xml:space="preserve"> of a constant duration of diagnosis and treatment, mammography screening, biopsy, metastatic breast cancer and terminal breast cancer was made. Although these limitations influence our ability to precisely estimate absolute values of DALYs averted and QALYs gained, both measures are expected to be influenced similarly. Thus, the impact of these limitations on the comparison between the outcomes is expected to be modest.</w:t>
      </w:r>
      <w:r>
        <w:rPr>
          <w:rFonts w:ascii="Times New Roman" w:hAnsi="Times New Roman" w:cs="Times New Roman"/>
          <w:sz w:val="24"/>
        </w:rPr>
        <w:t xml:space="preserve"> However, these limitations can significantly affect a comparison between results of our study and results published in other CE analyses.</w:t>
      </w:r>
    </w:p>
    <w:p w:rsidR="00723741" w:rsidRPr="006F0394" w:rsidRDefault="00723741" w:rsidP="00723741">
      <w:pPr>
        <w:ind w:left="360"/>
        <w:jc w:val="both"/>
        <w:rPr>
          <w:rFonts w:ascii="Times New Roman" w:hAnsi="Times New Roman" w:cs="Times New Roman"/>
          <w:sz w:val="24"/>
        </w:rPr>
      </w:pPr>
      <w:r>
        <w:rPr>
          <w:rFonts w:ascii="Times New Roman" w:hAnsi="Times New Roman" w:cs="Times New Roman"/>
          <w:sz w:val="24"/>
        </w:rPr>
        <w:t>Comparing D</w:t>
      </w:r>
      <w:r w:rsidRPr="006F0394">
        <w:rPr>
          <w:rFonts w:ascii="Times New Roman" w:hAnsi="Times New Roman" w:cs="Times New Roman"/>
          <w:sz w:val="24"/>
        </w:rPr>
        <w:t xml:space="preserve">ALY and </w:t>
      </w:r>
      <w:r>
        <w:rPr>
          <w:rFonts w:ascii="Times New Roman" w:hAnsi="Times New Roman" w:cs="Times New Roman"/>
          <w:sz w:val="24"/>
        </w:rPr>
        <w:t>Q</w:t>
      </w:r>
      <w:r w:rsidRPr="006F0394">
        <w:rPr>
          <w:rFonts w:ascii="Times New Roman" w:hAnsi="Times New Roman" w:cs="Times New Roman"/>
          <w:sz w:val="24"/>
        </w:rPr>
        <w:t xml:space="preserve">ALY </w:t>
      </w:r>
      <w:r>
        <w:rPr>
          <w:rFonts w:ascii="Times New Roman" w:hAnsi="Times New Roman" w:cs="Times New Roman"/>
          <w:sz w:val="24"/>
        </w:rPr>
        <w:t>outcomes in cost-effectiveness analyses is challenging</w:t>
      </w:r>
      <w:r w:rsidRPr="006F0394">
        <w:rPr>
          <w:rFonts w:ascii="Times New Roman" w:hAnsi="Times New Roman" w:cs="Times New Roman"/>
          <w:sz w:val="24"/>
        </w:rPr>
        <w:t>. In theory, DALYs averted and QALYs gained could be equivalent if disutility</w:t>
      </w:r>
      <w:r>
        <w:rPr>
          <w:rFonts w:ascii="Times New Roman" w:hAnsi="Times New Roman" w:cs="Times New Roman"/>
          <w:sz w:val="24"/>
        </w:rPr>
        <w:t xml:space="preserve"> of specific health state</w:t>
      </w:r>
      <w:r w:rsidRPr="006F0394">
        <w:rPr>
          <w:rFonts w:ascii="Times New Roman" w:hAnsi="Times New Roman" w:cs="Times New Roman"/>
          <w:sz w:val="24"/>
        </w:rPr>
        <w:t xml:space="preserve"> is equal to </w:t>
      </w:r>
      <w:r>
        <w:rPr>
          <w:rFonts w:ascii="Times New Roman" w:hAnsi="Times New Roman" w:cs="Times New Roman"/>
          <w:sz w:val="24"/>
        </w:rPr>
        <w:t>disability weight of the same health state</w:t>
      </w:r>
      <w:r w:rsidRPr="006F0394">
        <w:rPr>
          <w:rFonts w:ascii="Times New Roman" w:hAnsi="Times New Roman" w:cs="Times New Roman"/>
          <w:sz w:val="24"/>
        </w:rPr>
        <w:t>. DALYs averted and QALYs gained are both used as outcome in cost-effectiveness analyses, providing a basis for extensive comparisons of the health effects of various policies and interventions</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{"citationItems":[{"id":"ITEM-1","itemData":{"DOI":"10.1001/jama.2016.12195","ISSN":"1538-3598 (Electronic)","PMID":"27623463","abstract":"IMPORTANCE: Since publication of the report by the Panel on Cost-Effectiveness in Health and Medicine in 1996, researchers have advanced the methods of cost-effectiveness analysis, and policy makers have experimented with its application. The need to deliver health care efficiently and the importance of using analytic techniques to understand the clinical and economic consequences of strategies to improve health have increased in recent years. OBJECTIVE: To review the state of the field and provide recommendations to improve the quality of cost-effectiveness analyses. The intended audiences include researchers, government policy makers, public health officials, health care administrators, payers, businesses, clinicians, patients, and consumers. DESIGN: In 2012, the Second Panel on Cost-Effectiveness in Health and Medicine was formed and included 2 co-chairs, 13 members, and 3 additional members of a leadership group. These members were selected on the basis of their experience in the field to provide broad expertise in the design, conduct, and use of cost-effectiveness analyses. Over the next 3.5 years, the panel developed recommendations by consensus. These recommendations were then reviewed by invited external reviewers and through a public posting process. FINDINGS: The concept of a \"reference case\" and a set of standard methodological practices that all cost-effectiveness analyses should follow to improve quality and comparability are recommended. All cost-effectiveness analyses should report 2 reference case analyses: one based on a health care sector perspective and another based on a societal perspective. The use of an \"impact inventory,\" which is a structured table that contains consequences (both inside and outside the formal health care sector), intended to clarify the scope and boundaries of the 2 reference case analyses is also recommended. This special communication reviews these recommendations and others concerning the estimation of the consequences of interventions, the valuation of health outcomes, and the reporting of cost-effectiveness analyses. CONCLUSIONS AND RELEVANCE: The Second Panel reviewed the current status of the field of cost-effectiveness analysis and developed a new set of recommendations. Major changes include the recommendation to perform analyses from 2 reference case perspectives and to provide an impact inventory to clarify included consequences.","author":[{"dropping-particle":"","family":"Sanders","given":"Gillian D","non-dropping-particle":"","parse-names":false,"suffix":""},{"dropping-particle":"","family":"Neumann","given":"Peter J","non-dropping-particle":"","parse-names":false,"suffix":""},{"dropping-particle":"","family":"Basu","given":"Anirban","non-dropping-particle":"","parse-names":false,"suffix":""},{"dropping-particle":"","family":"Brock","given":"Dan W","non-dropping-particle":"","parse-names":false,"suffix":""},{"dropping-particle":"","family":"Feeny","given":"David","non-dropping-particle":"","parse-names":false,"suffix":""},{"dropping-particle":"","family":"Krahn","given":"Murray","non-dropping-particle":"","parse-names":false,"suffix":""},{"dropping-particle":"","family":"Kuntz","given":"Karen M","non-dropping-particle":"","parse-names":false,"suffix":""},{"dropping-particle":"","family":"Meltzer","given":"David O","non-dropping-particle":"","parse-names":false,"suffix":""},{"dropping-particle":"","family":"Owens","given":"Douglas K","non-dropping-particle":"","parse-names":false,"suffix":""},{"dropping-particle":"","family":"Prosser","given":"Lisa A","non-dropping-particle":"","parse-names":false,"suffix":""},{"dropping-particle":"","family":"Salomon","given":"Joshua A","non-dropping-particle":"","parse-names":false,"suffix":""},{"dropping-particle":"","family":"Sculpher","given":"Mark J","non-dropping-particle":"","parse-names":false,"suffix":""},{"dropping-particle":"","family":"Trikalinos","given":"Thomas A","non-dropping-particle":"","parse-names":false,"suffix":""},{"dropping-particle":"","family":"Russell","given":"Louise B","non-dropping-particle":"","parse-names":false,"suffix":""},{"dropping-particle":"","family":"Siegel","given":"Joanna E","non-dropping-particle":"","parse-names":false,"suffix":""},{"dropping-particle":"","family":"Ganiats","given":"Theodore G","non-dropping-particle":"","parse-names":false,"suffix":""}],"container-title":"JAMA","id":"ITEM-1","issue":"10","issued":{"date-parts":[["2016","9"]]},"language":"eng","page":"1093-1103","publisher-place":"United States","title":"Recommendations for Conduct, Methodological Practices, and Reporting of Cost-effectiveness Analyses: Second Panel on Cost-Effectiveness in Health and Medicine.","type":"article-journal","volume":"316"},"uris":["http://www.mendeley.com/documents/?uuid=7dde93b4-eb33-48e9-bc8c-a20a3dbc4013"]}],"mendeley":{"formattedCitation":"&lt;sup&gt;29&lt;/sup&gt;","plainTextFormattedCitation":"29","previouslyFormattedCitation":"&lt;sup&gt;29&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29</w:t>
      </w:r>
      <w:r>
        <w:rPr>
          <w:rFonts w:ascii="Times New Roman" w:hAnsi="Times New Roman" w:cs="Times New Roman"/>
          <w:sz w:val="24"/>
        </w:rPr>
        <w:fldChar w:fldCharType="end"/>
      </w:r>
      <w:r w:rsidRPr="006F0394">
        <w:rPr>
          <w:rFonts w:ascii="Times New Roman" w:hAnsi="Times New Roman" w:cs="Times New Roman"/>
          <w:sz w:val="24"/>
        </w:rPr>
        <w:t xml:space="preserve"> Yet, they are not interchangeable, and the differences need to be considered</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{"citationItems":[{"id":"ITEM-1","itemData":{"DOI":"10.1097/00005650-200203000-00009","ISSN":"0025-7079 (Print)","PMID":"11880798","abstract":"BACKGROUND: Health adjusted life years (HALYs) are used for estimating burden of  disease and as outcomes in cost-effectiveness analyses of medical care and public health interventions. OBJECTIVES: The impact of use of health-related quality of life (HRQL) scores associated with the disability-adjusted life year (DALY), the quality-adjusted life year (QALY), and the years of healthy life (YHL) measure on burden of disease estimates by income and race for five illnesses was studied. RESEARCH DESIGN: Abridged life tables were constructed using 1997 death certificate data from the National Center for Health Statistics. These tables were then quality-adjusted using prevalence data from the National Health Interview Survey and HRQL scores obtained using the Quality of Well-Being scale, the DALY, and the YHL measure to estimate burden of disease for five common diseases. Separate estimates were made for low and higher income families as well as black persons and white persons. RESULTS: Measure-related burden of disease estimates differed substantially from one another. Rank order of disease burden was not maintained across measures. Discrepancies in the rank order of disease were greater when different sociodemographic groups were examined. CONCLUSIONS: Diseases and demographic groups will receive differing priorities for intervention or research depending on which measurement system is used to inform decision-making. Refinement and standardization of measures is necessary to enhance their utility for medical care and public health policy applications.","author":[{"dropping-particle":"","family":"Gold","given":"Marthe R","non-dropping-particle":"","parse-names":false,"suffix":""},{"dropping-particle":"","family":"Muennig","given":"Peter","non-dropping-particle":"","parse-names":false,"suffix":""}],"container-title":"Medical care","id":"ITEM-1","issue":"3","issued":{"date-parts":[["2002","3"]]},"language":"eng","page":"260-266","publisher-place":"United States","title":"Measure-dependent variation in burden of disease estimates: implications for policy.","type":"article-journal","volume":"40"},"uris":["http://www.mendeley.com/documents/?uuid=c8a12a16-6f30-46c7-bacf-495c1d230a38"]},{"id":"ITEM-2","itemData":{"DOI":"10.1111/j.1525-1497.2006.00609.x","ISSN":"1525-1497 (Electronic)","PMID":"16961753","abstract":"BACKGROUND: Black, older, and less affluent women are less likely to receive  adjuvant breast cancer therapy than their counterparts. Whereas preference contributes to disparities in other health care scenarios, it is unclear if preference explains differential rates of breast cancer care. OBJECTIVE: To ascertain utilities from women of diverse backgrounds for the different stages of, and treatments for, breast cancer and to determine whether a treatment decision modeled from utilities is associated with socio-demographic characteristics. PARTICIPANTS: A stratified sample (by age and race) of 156 English-speaking women over 25 years old not currently undergoing breast cancer treatment. DESIGN AND MEASUREMENTS: We assessed utilities using standard gamble for 5 breast cancer stages, and time-tradeoff for 3 therapeutic modalities. We incorporated each subject's utilities into a Markov model to determine whether her quality-adjusted life expectancy would be maximized with chemotherapy for a hypothetical, current diagnosis of stage II breast cancer. We used logistic regression to determine whether socio-demographic variables were associated with this optimal strategy. RESULTS: Median utilities for the 8 health states were: stage I disease, 0.91 (interquartile range 0.50 to 1.00); stage II, 0.75 (0.26 to 0.99); stage III, 0.51 (0.25 to 0.94); stage IV (estrogen receptor positive), 0.36 (0 to 0.75); stage IV (estrogen receptor negative), 0.40 (0 to 0.79); chemotherapy 0.50 (0 to 0.92); hormonal therapy 0.58 (0 to 1); and radiation therapy 0.83 (0.10 to 1). Utilities for early stage disease and treatment modalities, but not metastatic disease, varied with socio-demographic characteristics. One hundred and twenty-two of 156 subjects had utilities that maximized quality-adjusted life expectancy given stage II breast cancer with chemotherapy. Age over 50, black race, and low household income were associated with at least 5-fold lower odds of maximizing quality-adjusted life expectancy with chemotherapy, whereas women who were married or had a significant other were 4-fold more likely to maximize quality-adjusted life expectancy with chemotherapy. CONCLUSIONS: Differences in utility for breast cancer health states may partially explain the lower rate of adjuvant therapy for black, older, and less affluent women. Further work must clarify whether these differences result from health preference alone or reflect women's perceptions of sources of disparity, such as acc…","author":[{"dropping-particle":"","family":"Schleinitz","given":"Mark D","non-dropping-particle":"","parse-names":false,"suffix":""},{"dropping-particle":"","family":"DePalo","given":"Dina","non-dropping-particle":"","parse-names":false,"suffix":""},{"dropping-particle":"","family":"Blume","given":"Jeffrey","non-dropping-particle":"","parse-names":false,"suffix":""},{"dropping-particle":"","family":"Stein","given":"Michael","non-dropping-particle":"","parse-names":false,"suffix":""}],"container-title":"Journal of general internal medicine","id":"ITEM-2","issue":"12","issued":{"date-parts":[["2006","12"]]},"language":"eng","page":"1253-1260","title":"Can differences in breast cancer utilities explain disparities in breast cancer  care?","type":"article-journal","volume":"21"},"uris":["http://www.mendeley.com/documents/?uuid=6473f032-ced8-46c0-8c71-ec7c705489e8"]},{"id":"ITEM-3","itemData":{"DOI":"10.1093/heapol/czl018","ISSN":"0268-1080 (Print)","PMID":"16877455","abstract":"Quality-adjusted life years (QALYs) have been used in the assessment of health interventions for three decades. The popularity of the QALY approach has been constantly increasing, although the debate on its theoretical underpinnings and practical implications is still ongoing. Disability-adjusted life years (DALYs), also widely debated, were shaped some 20 years later, broadly within the same conceptual framework but with a number of important differences. This paper provides a comprehensive formulation of QALY calculation methods, offering practical instruments for assessing the impact of health interventions, similar to those made available elsewhere for calculating DALYs. Systematic differences between QALYs and DALYs are explained by reference to two examples: the prevention of tuberculosis and the treatment of bipolar depression. When a health intervention is aimed at preventing or treating a non-fatal disease, the relationship between QALYs gained and DALYs saved depends on age of onset and duration of the disease, as well as the quality of life and disability weights. In the case of a potentially fatal disease, a larger number of factors may determine differences between outcomes assessed with the two metrics. The relative importance of some of these factors is discussed and illustrated graphically in the paper. Understanding similarities and differences between QALYs and DALYs is important to researchers and policy makers, for a sound interpretation of the evidence on the outcomes of health interventions.","author":[{"dropping-particle":"","family":"Sassi","given":"Franco","non-dropping-particle":"","parse-names":false,"suffix":""}],"container-title":"Health policy and planning","id":"ITEM-3","issue":"5","issued":{"date-parts":[["2006","9"]]},"language":"eng","page":"402-408","publisher-place":"England","title":"Calculating QALYs, comparing QALY and DALY calculations.","type":"article-journal","volume":"21"},"uris":["http://www.mendeley.com/documents/?uuid=0b35e462-52c3-4324-901a-c8966f0d1958"]}],"mendeley":{"formattedCitation":"&lt;sup&gt;30–32&lt;/sup&gt;","plainTextFormattedCitation":"30–32","previouslyFormattedCitation":"&lt;sup&gt;30–32&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30–32</w:t>
      </w:r>
      <w:r>
        <w:rPr>
          <w:rFonts w:ascii="Times New Roman" w:hAnsi="Times New Roman" w:cs="Times New Roman"/>
          <w:sz w:val="24"/>
        </w:rPr>
        <w:fldChar w:fldCharType="end"/>
      </w:r>
    </w:p>
    <w:p w:rsidR="00723741" w:rsidRPr="006F0394"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 xml:space="preserve">The </w:t>
      </w:r>
      <w:r>
        <w:rPr>
          <w:rFonts w:ascii="Times New Roman" w:hAnsi="Times New Roman" w:cs="Times New Roman"/>
          <w:sz w:val="24"/>
        </w:rPr>
        <w:t>utilities</w:t>
      </w:r>
      <w:r w:rsidRPr="006F0394">
        <w:rPr>
          <w:rFonts w:ascii="Times New Roman" w:hAnsi="Times New Roman" w:cs="Times New Roman"/>
          <w:sz w:val="24"/>
        </w:rPr>
        <w:t xml:space="preserve"> are derived from different studies, using different methods, techniques and groups of subjects. The disability weights are more based on expert valuations and reflect on specific disease, while disutility is based on population or individual opinion and reflect on health states</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{"citationItems":[{"id":"ITEM-1","itemData":{"DOI":"10.1097/00005650-200203000-00009","ISSN":"0025-7079 (Print)","PMID":"11880798","abstract":"BACKGROUND: Health adjusted life years (HALYs) are used for estimating burden of  disease and as outcomes in cost-effectiveness analyses of medical care and public health interventions. OBJECTIVES: The impact of use of health-related quality of life (HRQL) scores associated with the disability-adjusted life year (DALY), the quality-adjusted life year (QALY), and the years of healthy life (YHL) measure on burden of disease estimates by income and race for five illnesses was studied. RESEARCH DESIGN: Abridged life tables were constructed using 1997 death certificate data from the National Center for Health Statistics. These tables were then quality-adjusted using prevalence data from the National Health Interview Survey and HRQL scores obtained using the Quality of Well-Being scale, the DALY, and the YHL measure to estimate burden of disease for five common diseases. Separate estimates were made for low and higher income families as well as black persons and white persons. RESULTS: Measure-related burden of disease estimates differed substantially from one another. Rank order of disease burden was not maintained across measures. Discrepancies in the rank order of disease were greater when different sociodemographic groups were examined. CONCLUSIONS: Diseases and demographic groups will receive differing priorities for intervention or research depending on which measurement system is used to inform decision-making. Refinement and standardization of measures is necessary to enhance their utility for medical care and public health policy applications.","author":[{"dropping-particle":"","family":"Gold","given":"Marthe R","non-dropping-particle":"","parse-names":false,"suffix":""},{"dropping-particle":"","family":"Muennig","given":"Peter","non-dropping-particle":"","parse-names":false,"suffix":""}],"container-title":"Medical care","id":"ITEM-1","issue":"3","issued":{"date-parts":[["2002","3"]]},"language":"eng","page":"260-266","publisher-place":"United States","title":"Measure-dependent variation in burden of disease estimates: implications for policy.","type":"article-journal","volume":"40"},"uris":["http://www.mendeley.com/documents/?uuid=c8a12a16-6f30-46c7-bacf-495c1d230a38"]},{"id":"ITEM-2","itemData":{"DOI":"10.1093/heapol/czl018","ISSN":"0268-1080 (Print)","PMID":"16877455","abstract":"Quality-adjusted life years (QALYs) have been used in the assessment of health interventions for three decades. The popularity of the QALY approach has been constantly increasing, although the debate on its theoretical underpinnings and practical implications is still ongoing. Disability-adjusted life years (DALYs), also widely debated, were shaped some 20 years later, broadly within the same conceptual framework but with a number of important differences. This paper provides a comprehensive formulation of QALY calculation methods, offering practical instruments for assessing the impact of health interventions, similar to those made available elsewhere for calculating DALYs. Systematic differences between QALYs and DALYs are explained by reference to two examples: the prevention of tuberculosis and the treatment of bipolar depression. When a health intervention is aimed at preventing or treating a non-fatal disease, the relationship between QALYs gained and DALYs saved depends on age of onset and duration of the disease, as well as the quality of life and disability weights. In the case of a potentially fatal disease, a larger number of factors may determine differences between outcomes assessed with the two metrics. The relative importance of some of these factors is discussed and illustrated graphically in the paper. Understanding similarities and differences between QALYs and DALYs is important to researchers and policy makers, for a sound interpretation of the evidence on the outcomes of health interventions.","author":[{"dropping-particle":"","family":"Sassi","given":"Franco","non-dropping-particle":"","parse-names":false,"suffix":""}],"container-title":"Health policy and planning","id":"ITEM-2","issue":"5","issued":{"date-parts":[["2006","9"]]},"language":"eng","page":"402-408","publisher-place":"England","title":"Calculating QALYs, comparing QALY and DALY calculations.","type":"article-journal","volume":"21"},"uris":["http://www.mendeley.com/documents/?uuid=0b35e462-52c3-4324-901a-c8966f0d1958"]}],"mendeley":{"formattedCitation":"&lt;sup&gt;30,32&lt;/sup&gt;","plainTextFormattedCitation":"30,32","previouslyFormattedCitation":"&lt;sup&gt;30,32&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30,32</w:t>
      </w:r>
      <w:r>
        <w:rPr>
          <w:rFonts w:ascii="Times New Roman" w:hAnsi="Times New Roman" w:cs="Times New Roman"/>
          <w:sz w:val="24"/>
        </w:rPr>
        <w:fldChar w:fldCharType="end"/>
      </w:r>
      <w:r w:rsidRPr="006F0394">
        <w:rPr>
          <w:rFonts w:ascii="Times New Roman" w:hAnsi="Times New Roman" w:cs="Times New Roman"/>
          <w:sz w:val="24"/>
        </w:rPr>
        <w:t xml:space="preserve"> Additionally, </w:t>
      </w:r>
      <w:r>
        <w:rPr>
          <w:rFonts w:ascii="Times New Roman" w:hAnsi="Times New Roman" w:cs="Times New Roman"/>
          <w:sz w:val="24"/>
        </w:rPr>
        <w:t>age of disease onset</w:t>
      </w:r>
      <w:r w:rsidRPr="006F0394">
        <w:rPr>
          <w:rFonts w:ascii="Times New Roman" w:hAnsi="Times New Roman" w:cs="Times New Roman"/>
          <w:sz w:val="24"/>
        </w:rPr>
        <w:t xml:space="preserve"> and discounting procedures</w:t>
      </w:r>
      <w:r>
        <w:rPr>
          <w:rFonts w:ascii="Times New Roman" w:hAnsi="Times New Roman" w:cs="Times New Roman"/>
          <w:sz w:val="24"/>
        </w:rPr>
        <w:t xml:space="preserve"> are important factors that can lead to variations </w:t>
      </w:r>
      <w:r w:rsidRPr="006F0394">
        <w:rPr>
          <w:rFonts w:ascii="Times New Roman" w:hAnsi="Times New Roman" w:cs="Times New Roman"/>
          <w:sz w:val="24"/>
        </w:rPr>
        <w:t>in DALY</w:t>
      </w:r>
      <w:r>
        <w:rPr>
          <w:rFonts w:ascii="Times New Roman" w:hAnsi="Times New Roman" w:cs="Times New Roman"/>
          <w:sz w:val="24"/>
        </w:rPr>
        <w:t xml:space="preserve"> averted</w:t>
      </w:r>
      <w:r w:rsidRPr="006F0394">
        <w:rPr>
          <w:rFonts w:ascii="Times New Roman" w:hAnsi="Times New Roman" w:cs="Times New Roman"/>
          <w:sz w:val="24"/>
        </w:rPr>
        <w:t xml:space="preserve"> and QALY </w:t>
      </w:r>
      <w:r>
        <w:rPr>
          <w:rFonts w:ascii="Times New Roman" w:hAnsi="Times New Roman" w:cs="Times New Roman"/>
          <w:sz w:val="24"/>
        </w:rPr>
        <w:t>gained results when the same intervention is evaluated.</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{"citationItems":[{"id":"ITEM-1","itemData":{"DOI":"10.1093/heapol/czl018","ISSN":"0268-1080 (Print)","PMID":"16877455","abstract":"Quality-adjusted life years (QALYs) have been used in the assessment of health interventions for three decades. The popularity of the QALY approach has been constantly increasing, although the debate on its theoretical underpinnings and practical implications is still ongoing. Disability-adjusted life years (DALYs), also widely debated, were shaped some 20 years later, broadly within the same conceptual framework but with a number of important differences. This paper provides a comprehensive formulation of QALY calculation methods, offering practical instruments for assessing the impact of health interventions, similar to those made available elsewhere for calculating DALYs. Systematic differences between QALYs and DALYs are explained by reference to two examples: the prevention of tuberculosis and the treatment of bipolar depression. When a health intervention is aimed at preventing or treating a non-fatal disease, the relationship between QALYs gained and DALYs saved depends on age of onset and duration of the disease, as well as the quality of life and disability weights. In the case of a potentially fatal disease, a larger number of factors may determine differences between outcomes assessed with the two metrics. The relative importance of some of these factors is discussed and illustrated graphically in the paper. Understanding similarities and differences between QALYs and DALYs is important to researchers and policy makers, for a sound interpretation of the evidence on the outcomes of health interventions.","author":[{"dropping-particle":"","family":"Sassi","given":"Franco","non-dropping-particle":"","parse-names":false,"suffix":""}],"container-title":"Health policy and planning","id":"ITEM-1","issue":"5","issued":{"date-parts":[["2006","9"]]},"language":"eng","page":"402-408","publisher-place":"England","title":"Calculating QALYs, comparing QALY and DALY calculations.","type":"article-journal","volume":"21"},"uris":["http://www.mendeley.com/documents/?uuid=0b35e462-52c3-4324-901a-c8966f0d1958"]}],"mendeley":{"formattedCitation":"&lt;sup&gt;32&lt;/sup&gt;","plainTextFormattedCitation":"32","previouslyFormattedCitation":"&lt;sup&gt;32&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rPr>
        <w:t>32</w:t>
      </w:r>
      <w:r>
        <w:rPr>
          <w:rFonts w:ascii="Times New Roman" w:hAnsi="Times New Roman" w:cs="Times New Roman"/>
          <w:sz w:val="24"/>
        </w:rPr>
        <w:fldChar w:fldCharType="end"/>
      </w:r>
    </w:p>
    <w:p w:rsidR="00723741" w:rsidRPr="00B83B71"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 xml:space="preserve">The major advantage of using QALYs in cost-effectiveness analyses is that - besides accounting for an improving life expectancy, it </w:t>
      </w:r>
      <w:r>
        <w:rPr>
          <w:rFonts w:ascii="Times New Roman" w:hAnsi="Times New Roman" w:cs="Times New Roman"/>
          <w:sz w:val="24"/>
        </w:rPr>
        <w:t xml:space="preserve">also </w:t>
      </w:r>
      <w:r w:rsidRPr="006F0394">
        <w:rPr>
          <w:rFonts w:ascii="Times New Roman" w:hAnsi="Times New Roman" w:cs="Times New Roman"/>
          <w:sz w:val="24"/>
        </w:rPr>
        <w:t>takes the health effects on the quality of life into account.</w:t>
      </w:r>
      <w:r>
        <w:rPr>
          <w:rFonts w:ascii="Times New Roman" w:hAnsi="Times New Roman" w:cs="Times New Roman"/>
          <w:sz w:val="24"/>
        </w:rPr>
        <w:t xml:space="preserve"> I</w:t>
      </w:r>
      <w:r w:rsidRPr="006F0394">
        <w:rPr>
          <w:rFonts w:ascii="Times New Roman" w:hAnsi="Times New Roman" w:cs="Times New Roman"/>
          <w:sz w:val="24"/>
        </w:rPr>
        <w:t>n general, cost-effectiveness thresholds have been based on QALYs gained. However, using QALYs is associated with many challenges due to the complexity and diversity of health related utilities used in the calculation</w:t>
      </w:r>
      <w:r>
        <w:rPr>
          <w:rFonts w:ascii="Times New Roman" w:hAnsi="Times New Roman" w:cs="Times New Roman"/>
          <w:sz w:val="24"/>
        </w:rPr>
        <w:t>;</w:t>
      </w:r>
      <w:r w:rsidRPr="006F0394">
        <w:rPr>
          <w:rFonts w:ascii="Times New Roman" w:hAnsi="Times New Roman" w:cs="Times New Roman"/>
          <w:sz w:val="24"/>
        </w:rPr>
        <w:t xml:space="preserve"> </w:t>
      </w:r>
      <w:r>
        <w:rPr>
          <w:rFonts w:ascii="Times New Roman" w:hAnsi="Times New Roman" w:cs="Times New Roman"/>
          <w:sz w:val="24"/>
        </w:rPr>
        <w:t xml:space="preserve">and lack of capturing years lost due </w:t>
      </w:r>
      <w:r w:rsidRPr="00FC23E0">
        <w:rPr>
          <w:rFonts w:ascii="Times New Roman" w:hAnsi="Times New Roman" w:cs="Times New Roman"/>
          <w:sz w:val="24"/>
        </w:rPr>
        <w:t>to the disease, which is relevant when evaluating fatal diseases as cancer</w:t>
      </w:r>
      <w:r>
        <w:rPr>
          <w:rFonts w:ascii="Times New Roman" w:hAnsi="Times New Roman" w:cs="Times New Roman"/>
          <w:sz w:val="24"/>
        </w:rPr>
        <w:t>.</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{"citationItems":[{"id":"ITEM-1","itemData":{"DOI":"10.1001/jama.2016.12195","ISSN":"1538-3598 (Electronic)","PMID":"27623463","abstract":"IMPORTANCE: Since publication of the report by the Panel on Cost-Effectiveness in Health and Medicine in 1996, researchers have advanced the methods of cost-effectiveness analysis, and policy makers have experimented with its application. The need to deliver health care efficiently and the importance of using analytic techniques to understand the clinical and economic consequences of strategies to improve health have increased in recent years. OBJECTIVE: To review the state of the field and provide recommendations to improve the quality of cost-effectiveness analyses. The intended audiences include researchers, government policy makers, public health officials, health care administrators, payers, businesses, clinicians, patients, and consumers. DESIGN: In 2012, the Second Panel on Cost-Effectiveness in Health and Medicine was formed and included 2 co-chairs, 13 members, and 3 additional members of a leadership group. These members were selected on the basis of their experience in the field to provide broad expertise in the design, conduct, and use of cost-effectiveness analyses. Over the next 3.5 years, the panel developed recommendations by consensus. These recommendations were then reviewed by invited external reviewers and through a public posting process. FINDINGS: The concept of a \"reference case\" and a set of standard methodological practices that all cost-effectiveness analyses should follow to improve quality and comparability are recommended. All cost-effectiveness analyses should report 2 reference case analyses: one based on a health care sector perspective and another based on a societal perspective. The use of an \"impact inventory,\" which is a structured table that contains consequences (both inside and outside the formal health care sector), intended to clarify the scope and boundaries of the 2 reference case analyses is also recommended. This special communication reviews these recommendations and others concerning the estimation of the consequences of interventions, the valuation of health outcomes, and the reporting of cost-effectiveness analyses. CONCLUSIONS AND RELEVANCE: The Second Panel reviewed the current status of the field of cost-effectiveness analysis and developed a new set of recommendations. Major changes include the recommendation to perform analyses from 2 reference case perspectives and to provide an impact inventory to clarify included consequences.","author":[{"dropping-particle":"","family":"Sanders","given":"Gillian D","non-dropping-particle":"","parse-names":false,"suffix":""},{"dropping-particle":"","family":"Neumann","given":"Peter J","non-dropping-particle":"","parse-names":false,"suffix":""},{"dropping-particle":"","family":"Basu","given":"Anirban","non-dropping-particle":"","parse-names":false,"suffix":""},{"dropping-particle":"","family":"Brock","given":"Dan W","non-dropping-particle":"","parse-names":false,"suffix":""},{"dropping-particle":"","family":"Feeny","given":"David","non-dropping-particle":"","parse-names":false,"suffix":""},{"dropping-particle":"","family":"Krahn","given":"Murray","non-dropping-particle":"","parse-names":false,"suffix":""},{"dropping-particle":"","family":"Kuntz","given":"Karen M","non-dropping-particle":"","parse-names":false,"suffix":""},{"dropping-particle":"","family":"Meltzer","given":"David O","non-dropping-particle":"","parse-names":false,"suffix":""},{"dropping-particle":"","family":"Owens","given":"Douglas K","non-dropping-particle":"","parse-names":false,"suffix":""},{"dropping-particle":"","family":"Prosser","given":"Lisa A","non-dropping-particle":"","parse-names":false,"suffix":""},{"dropping-particle":"","family":"Salomon","given":"Joshua A","non-dropping-particle":"","parse-names":false,"suffix":""},{"dropping-particle":"","family":"Sculpher","given":"Mark J","non-dropping-particle":"","parse-names":false,"suffix":""},{"dropping-particle":"","family":"Trikalinos","given":"Thomas A","non-dropping-particle":"","parse-names":false,"suffix":""},{"dropping-particle":"","family":"Russell","given":"Louise B","non-dropping-particle":"","parse-names":false,"suffix":""},{"dropping-particle":"","family":"Siegel","given":"Joanna E","non-dropping-particle":"","parse-names":false,"suffix":""},{"dropping-particle":"","family":"Ganiats","given":"Theodore G","non-dropping-particle":"","parse-names":false,"suffix":""}],"container-title":"JAMA","id":"ITEM-1","issue":"10","issued":{"date-parts":[["2016","9"]]},"language":"eng","page":"1093-1103","publisher-place":"United States","title":"Recommendations for Conduct, Methodological Practices, and Reporting of Cost-effectiveness Analyses: Second Panel on Cost-Effectiveness in Health and Medicine.","type":"article-journal","volume":"316"},"uris":["http://www.mendeley.com/documents/?uuid=7dde93b4-eb33-48e9-bc8c-a20a3dbc4013"]},{"id":"ITEM-2","itemData":{"DOI":"10.1097/00005650-200203000-00009","ISSN":"0025-7079 (Print)","PMID":"11880798","abstract":"BACKGROUND: Health adjusted life years (HALYs) are used for estimating burden of  disease and as outcomes in cost-effectiveness analyses of medical care and public health interventions. OBJECTIVES: The impact of use of health-related quality of life (HRQL) scores associated with the disability-adjusted life year (DALY), the quality-adjusted life year (QALY), and the years of healthy life (YHL) measure on burden of disease estimates by income and race for five illnesses was studied. RESEARCH DESIGN: Abridged life tables were constructed using 1997 death certificate data from the National Center for Health Statistics. These tables were then quality-adjusted using prevalence data from the National Health Interview Survey and HRQL scores obtained using the Quality of Well-Being scale, the DALY, and the YHL measure to estimate burden of disease for five common diseases. Separate estimates were made for low and higher income families as well as black persons and white persons. RESULTS: Measure-related burden of disease estimates differed substantially from one another. Rank order of disease burden was not maintained across measures. Discrepancies in the rank order of disease were greater when different sociodemographic groups were examined. CONCLUSIONS: Diseases and demographic groups will receive differing priorities for intervention or research depending on which measurement system is used to inform decision-making. Refinement and standardization of measures is necessary to enhance their utility for medical care and public health policy applications.","author":[{"dropping-particle":"","family":"Gold","given":"Marthe R","non-dropping-particle":"","parse-names":false,"suffix":""},{"dropping-particle":"","family":"Muennig","given":"Peter","non-dropping-particle":"","parse-names":false,"suffix":""}],"container-title":"Medical care","id":"ITEM-2","issue":"3","issued":{"date-parts":[["2002","3"]]},"language":"eng","page":"260-266","publisher-place":"United States","title":"Measure-dependent variation in burden of disease estimates: implications for policy.","type":"article-journal","volume":"40"},"uris":["http://www.mendeley.com/documents/?uuid=c8a12a16-6f30-46c7-bacf-495c1d230a38"]},{"id":"ITEM-3","itemData":{"DOI":"10.1111/j.1525-1497.2006.00609.x","ISSN":"1525-1497 (Electronic)","PMID":"16961753","abstract":"BACKGROUND: Black, older, and less affluent women are less likely to receive  adjuvant breast cancer therapy than their counterparts. Whereas preference contributes to disparities in other health care scenarios, it is unclear if preference explains differential rates of breast cancer care. OBJECTIVE: To ascertain utilities from women of diverse backgrounds for the different stages of, and treatments for, breast cancer and to determine whether a treatment decision modeled from utilities is associated with socio-demographic characteristics. PARTICIPANTS: A stratified sample (by age and race) of 156 English-speaking women over 25 years old not currently undergoing breast cancer treatment. DESIGN AND MEASUREMENTS: We assessed utilities using standard gamble for 5 breast cancer stages, and time-tradeoff for 3 therapeutic modalities. We incorporated each subject's utilities into a Markov model to determine whether her quality-adjusted life expectancy would be maximized with chemotherapy for a hypothetical, current diagnosis of stage II breast cancer. We used logistic regression to determine whether socio-demographic variables were associated with this optimal strategy. RESULTS: Median utilities for the 8 health states were: stage I disease, 0.91 (interquartile range 0.50 to 1.00); stage II, 0.75 (0.26 to 0.99); stage III, 0.51 (0.25 to 0.94); stage IV (estrogen receptor positive), 0.36 (0 to 0.75); stage IV (estrogen receptor negative), 0.40 (0 to 0.79); chemotherapy 0.50 (0 to 0.92); hormonal therapy 0.58 (0 to 1); and radiation therapy 0.83 (0.10 to 1). Utilities for early stage disease and treatment modalities, but not metastatic disease, varied with socio-demographic characteristics. One hundred and twenty-two of 156 subjects had utilities that maximized quality-adjusted life expectancy given stage II breast cancer with chemotherapy. Age over 50, black race, and low household income were associated with at least 5-fold lower odds of maximizing quality-adjusted life expectancy with chemotherapy, whereas women who were married or had a significant other were 4-fold more likely to maximize quality-adjusted life expectancy with chemotherapy. CONCLUSIONS: Differences in utility for breast cancer health states may partially explain the lower rate of adjuvant therapy for black, older, and less affluent women. Further work must clarify whether these differences result from health preference alone or reflect women's perceptions of sources of disparity, such as acc…","author":[{"dropping-particle":"","family":"Schleinitz","given":"Mark D","non-dropping-particle":"","parse-names":false,"suffix":""},{"dropping-particle":"","family":"DePalo","given":"Dina","non-dropping-particle":"","parse-names":false,"suffix":""},{"dropping-particle":"","family":"Blume","given":"Jeffrey","non-dropping-particle":"","parse-names":false,"suffix":""},{"dropping-particle":"","family":"Stein","given":"Michael","non-dropping-particle":"","parse-names":false,"suffix":""}],"container-title":"Journal of general internal medicine","id":"ITEM-3","issue":"12","issued":{"date-parts":[["2006","12"]]},"language":"eng","page":"1253-1260","title":"Can differences in breast cancer utilities explain disparities in breast cancer  care?","type":"article-journal","volume":"21"},"uris":["http://www.mendeley.com/documents/?uuid=6473f032-ced8-46c0-8c71-ec7c705489e8"]},{"id":"ITEM-4","itemData":{"DOI":"10.1093/heapol/czl018","ISSN":"0268-1080 (Print)","PMID":"16877455","abstract":"Quality-adjusted life years (QALYs) have been used in the assessment of health interventions for three decades. The popularity of the QALY approach has been constantly increasing, although the debate on its theoretical underpinnings and practical implications is still ongoing. Disability-adjusted life years (DALYs), also widely debated, were shaped some 20 years later, broadly within the same conceptual framework but with a number of important differences. This paper provides a comprehensive formulation of QALY calculation methods, offering practical instruments for assessing the impact of health interventions, similar to those made available elsewhere for calculating DALYs. Systematic differences between QALYs and DALYs are explained by reference to two examples: the prevention of tuberculosis and the treatment of bipolar depression. When a health intervention is aimed at preventing or treating a non-fatal disease, the relationship between QALYs gained and DALYs saved depends on age of onset and duration of the disease, as well as the quality of life and disability weights. In the case of a potentially fatal disease, a larger number of factors may determine differences between outcomes assessed with the two metrics. The relative importance of some of these factors is discussed and illustrated graphically in the paper. Understanding similarities and differences between QALYs and DALYs is important to researchers and policy makers, for a sound interpretation of the evidence on the outcomes of health interventions.","author":[{"dropping-particle":"","family":"Sassi","given":"Franco","non-dropping-particle":"","parse-names":false,"suffix":""}],"container-title":"Health policy and planning","id":"ITEM-4","issue":"5","issued":{"date-parts":[["2006","9"]]},"language":"eng","page":"402-408","publisher-place":"England","title":"Calculating QALYs, comparing QALY and DALY calculations.","type":"article-journal","volume":"21"},"uris":["http://www.mendeley.com/documents/?uuid=0b35e462-52c3-4324-901a-c8966f0d1958"]}],"mendeley":{"formattedCitation":"&lt;sup&gt;29–32&lt;/sup&gt;","plainTextFormattedCitation":"29–32","previouslyFormattedCitation":"&lt;sup&gt;29–32&lt;/sup&gt;"},"properties":{"noteIndex":0},"schema":"https://github.com/citation-style-language/schema/raw/master/csl-citation.json"}</w:instrText>
      </w:r>
      <w:r>
        <w:rPr>
          <w:rFonts w:ascii="Times New Roman" w:hAnsi="Times New Roman" w:cs="Times New Roman"/>
          <w:sz w:val="24"/>
        </w:rPr>
        <w:fldChar w:fldCharType="separate"/>
      </w:r>
      <w:r w:rsidRPr="00E81F29">
        <w:rPr>
          <w:rFonts w:ascii="Times New Roman" w:hAnsi="Times New Roman" w:cs="Times New Roman"/>
          <w:noProof/>
          <w:sz w:val="24"/>
          <w:vertAlign w:val="superscript"/>
          <w:lang w:val="en-GB"/>
        </w:rPr>
        <w:t>29–32</w:t>
      </w:r>
      <w:r>
        <w:rPr>
          <w:rFonts w:ascii="Times New Roman" w:hAnsi="Times New Roman" w:cs="Times New Roman"/>
          <w:sz w:val="24"/>
        </w:rPr>
        <w:fldChar w:fldCharType="end"/>
      </w:r>
      <w:r w:rsidRPr="00EB53BE">
        <w:rPr>
          <w:rFonts w:ascii="Times New Roman" w:hAnsi="Times New Roman" w:cs="Times New Roman"/>
          <w:sz w:val="24"/>
          <w:lang w:val="en-GB"/>
        </w:rPr>
        <w:t xml:space="preserve"> </w:t>
      </w:r>
      <w:r w:rsidRPr="006F0394">
        <w:rPr>
          <w:rFonts w:ascii="Times New Roman" w:hAnsi="Times New Roman" w:cs="Times New Roman"/>
          <w:sz w:val="24"/>
        </w:rPr>
        <w:t xml:space="preserve">DALYs provide a much more general overview of the burden of disease, for its universal set of disability weights used around the globe. Hence, DALYs averted can be used interchangeably across Europe, not only to evaluate the quality of life among breast cancer </w:t>
      </w:r>
      <w:r w:rsidRPr="006F0394">
        <w:rPr>
          <w:rFonts w:ascii="Times New Roman" w:hAnsi="Times New Roman" w:cs="Times New Roman"/>
          <w:sz w:val="24"/>
        </w:rPr>
        <w:lastRenderedPageBreak/>
        <w:t>patients, but also for other cancer types, because disability weights have the same value for different types of cancer, and there are only two cancer-specific health states: stoma and mastectomy</w:t>
      </w:r>
      <w:r>
        <w:rPr>
          <w:rFonts w:ascii="Times New Roman" w:hAnsi="Times New Roman" w:cs="Times New Roman"/>
          <w:sz w:val="24"/>
        </w:rPr>
        <w:t>.</w:t>
      </w:r>
      <w:r w:rsidRPr="0064054A">
        <w:rPr>
          <w:rFonts w:ascii="Times New Roman" w:hAnsi="Times New Roman" w:cs="Times New Roman"/>
          <w:sz w:val="24"/>
          <w:vertAlign w:val="superscript"/>
        </w:rPr>
        <w:fldChar w:fldCharType="begin" w:fldLock="1"/>
      </w:r>
      <w:r w:rsidRPr="0064054A">
        <w:rPr>
          <w:rFonts w:ascii="Times New Roman" w:hAnsi="Times New Roman" w:cs="Times New Roman"/>
          <w:sz w:val="24"/>
          <w:vertAlign w:val="superscript"/>
        </w:rPr>
        <w:instrText>ADDIN CSL_CITATION {"citationItems":[{"id":"ITEM-1","itemData":{"ISSN":"1010-7940","PMID":"2268438","abstract":"Global Burden of Disease Collaborative Network. Global Burden of Disease Study 2016 (GBD 2016) Results. Seattle, United States: Institute for Health Metrics and Evaluation (IHME), 2017. Available from http://ghdx.healthdata.org/gbd-results-tool.","author":[{"dropping-particle":"","family":"Institute for Health Metrics and Evaluation","given":"","non-dropping-particle":"","parse-names":false,"suffix":""}],"container-title":"Global Burden of Disease Collaborative Network","id":"ITEM-1","issued":{"date-parts":[["2017"]]},"title":"Global Burden of Disease Study 2016 (GBD 2016) Results","type":"article-journal"},"uris":["http://www.mendeley.com/documents/?uuid=3f28ff9d-b3c1-4c50-bb7c-02f87893a5f5"]}],"mendeley":{"formattedCitation":"&lt;sup&gt;15&lt;/sup&gt;","plainTextFormattedCitation":"15","previouslyFormattedCitation":"&lt;sup&gt;15&lt;/sup&gt;"},"properties":{"noteIndex":0},"schema":"https://github.com/citation-style-language/schema/raw/master/csl-citation.json"}</w:instrText>
      </w:r>
      <w:r w:rsidRPr="0064054A">
        <w:rPr>
          <w:rFonts w:ascii="Times New Roman" w:hAnsi="Times New Roman" w:cs="Times New Roman"/>
          <w:sz w:val="24"/>
          <w:vertAlign w:val="superscript"/>
        </w:rPr>
        <w:fldChar w:fldCharType="separate"/>
      </w:r>
      <w:r w:rsidRPr="0064054A">
        <w:rPr>
          <w:rFonts w:ascii="Times New Roman" w:hAnsi="Times New Roman" w:cs="Times New Roman"/>
          <w:sz w:val="24"/>
          <w:vertAlign w:val="superscript"/>
        </w:rPr>
        <w:t>15</w:t>
      </w:r>
      <w:r w:rsidRPr="0064054A">
        <w:rPr>
          <w:rFonts w:ascii="Times New Roman" w:hAnsi="Times New Roman" w:cs="Times New Roman"/>
          <w:sz w:val="24"/>
          <w:vertAlign w:val="superscript"/>
        </w:rPr>
        <w:fldChar w:fldCharType="end"/>
      </w:r>
      <w:r>
        <w:rPr>
          <w:rFonts w:ascii="Times New Roman" w:hAnsi="Times New Roman" w:cs="Times New Roman"/>
          <w:sz w:val="24"/>
        </w:rPr>
        <w:t xml:space="preserve"> </w:t>
      </w:r>
      <w:r w:rsidRPr="00B83B71">
        <w:rPr>
          <w:rFonts w:ascii="Times New Roman" w:hAnsi="Times New Roman" w:cs="Times New Roman"/>
          <w:sz w:val="24"/>
        </w:rPr>
        <w:t>Although differences in DALYs averted and QALYs gained were observed, conclusions of this cost-effectiveness analysis for breast cancer screening in the Netherlands is not likely to change based on the measure used (DALY averted versus QALY gained) when measuring health gain, as long as the recommended threshold for cost-effectiveness in the Netherlands is applied.</w:t>
      </w:r>
      <w:r w:rsidRPr="00B83B71">
        <w:rPr>
          <w:rFonts w:ascii="Times New Roman" w:hAnsi="Times New Roman" w:cs="Times New Roman"/>
          <w:sz w:val="24"/>
          <w:vertAlign w:val="superscript"/>
        </w:rPr>
        <w:fldChar w:fldCharType="begin" w:fldLock="1"/>
      </w:r>
      <w:r w:rsidRPr="00B83B71">
        <w:rPr>
          <w:rFonts w:ascii="Times New Roman" w:hAnsi="Times New Roman" w:cs="Times New Roman"/>
          <w:sz w:val="24"/>
          <w:vertAlign w:val="superscript"/>
        </w:rPr>
        <w:instrText>ADDIN CSL_CITATION {"citationItems":[{"id":"ITEM-1","itemData":{"author":[{"dropping-particle":"","family":"Zorginstituut Nederland","given":"","non-dropping-particle":"","parse-names":false,"suffix":""}],"id":"ITEM-1","issued":{"date-parts":[["2015"]]},"title":"Cost-effectiveness in practice","type":"report"},"uris":["http://www.mendeley.com/documents/?uuid=0b9da1ba-a036-4f58-acce-3f1331a45e3e"]},{"id":"ITEM-2","itemData":{"DOI":"10.1017/S0266462320000124","author":[{"dropping-particle":"","family":"Feng","given":"Xue","non-dropping-particle":"","parse-names":false,"suffix":""},{"dropping-particle":"","family":"Kim","given":"David D","non-dropping-particle":"","parse-names":false,"suffix":""},{"dropping-particle":"","family":"Cohen","given":"Joshua T","non-dropping-particle":"","parse-names":false,"suffix":""},{"dropping-particle":"","family":"Neumann","given":"Peter J","non-dropping-particle":"","parse-names":false,"suffix":""},{"dropping-particle":"","family":"Ollendorf","given":"Daniel A","non-dropping-particle":"","parse-names":false,"suffix":""}],"container-title":"International Journal of Technology Assessment in Health Care","id":"ITEM-2","issue":"2","issued":{"date-parts":[["2020"]]},"page":"96–103","publisher":"Cambridge University Press","title":"Using QALYs versus DALYs to measure cost-effectiveness: How much does it matter?","type":"article-journal","volume":"36"},"uris":["http://www.mendeley.com/documents/?uuid=f0f7868a-7640-46a8-950f-c13cc6b56c9d"]}],"mendeley":{"formattedCitation":"&lt;sup&gt;11,25&lt;/sup&gt;","plainTextFormattedCitation":"11,25"},"properties":{"noteIndex":0},"schema":"https://github.com/citation-style-language/schema/raw/master/csl-citation.json"}</w:instrText>
      </w:r>
      <w:r w:rsidRPr="00B83B71">
        <w:rPr>
          <w:rFonts w:ascii="Times New Roman" w:hAnsi="Times New Roman" w:cs="Times New Roman"/>
          <w:sz w:val="24"/>
          <w:vertAlign w:val="superscript"/>
        </w:rPr>
        <w:fldChar w:fldCharType="separate"/>
      </w:r>
      <w:r w:rsidRPr="00B83B71">
        <w:rPr>
          <w:rFonts w:ascii="Times New Roman" w:hAnsi="Times New Roman" w:cs="Times New Roman"/>
          <w:sz w:val="24"/>
          <w:vertAlign w:val="superscript"/>
        </w:rPr>
        <w:t>11,25</w:t>
      </w:r>
      <w:r w:rsidRPr="00B83B71">
        <w:rPr>
          <w:rFonts w:ascii="Times New Roman" w:hAnsi="Times New Roman" w:cs="Times New Roman"/>
          <w:sz w:val="24"/>
          <w:vertAlign w:val="superscript"/>
        </w:rPr>
        <w:fldChar w:fldCharType="end"/>
      </w:r>
    </w:p>
    <w:p w:rsidR="00723741" w:rsidRPr="006F0394" w:rsidRDefault="00723741" w:rsidP="00723741">
      <w:pPr>
        <w:ind w:left="360"/>
        <w:jc w:val="both"/>
        <w:rPr>
          <w:rFonts w:ascii="Times New Roman" w:hAnsi="Times New Roman" w:cs="Times New Roman"/>
          <w:sz w:val="24"/>
        </w:rPr>
      </w:pPr>
      <w:r w:rsidRPr="00B83B71">
        <w:rPr>
          <w:rFonts w:ascii="Times New Roman" w:hAnsi="Times New Roman" w:cs="Times New Roman"/>
          <w:sz w:val="24"/>
        </w:rPr>
        <w:t>Nonetheless, depending on the researcher’s preferences, the aim of the study and the country-specific context using DALYs averted or QALYs gained as a part of a cost-effectiveness analysis, should be carefully identified.</w:t>
      </w:r>
      <w:r w:rsidRPr="00B83B71">
        <w:rPr>
          <w:rFonts w:ascii="Times New Roman" w:hAnsi="Times New Roman" w:cs="Times New Roman"/>
          <w:sz w:val="24"/>
          <w:vertAlign w:val="superscript"/>
        </w:rPr>
        <w:fldChar w:fldCharType="begin" w:fldLock="1"/>
      </w:r>
      <w:r w:rsidRPr="00B83B71">
        <w:rPr>
          <w:rFonts w:ascii="Times New Roman" w:hAnsi="Times New Roman" w:cs="Times New Roman"/>
          <w:sz w:val="24"/>
          <w:vertAlign w:val="superscript"/>
        </w:rPr>
        <w:instrText>ADDIN CSL_CITATION {"citationItems":[{"id":"ITEM-1","itemData":{"DOI":"10.1017/S0266462320000124","author":[{"dropping-particle":"","family":"Feng","given":"Xue","non-dropping-particle":"","parse-names":false,"suffix":""},{"dropping-particle":"","family":"Kim","given":"David D","non-dropping-particle":"","parse-names":false,"suffix":""},{"dropping-particle":"","family":"Cohen","given":"Joshua T","non-dropping-particle":"","parse-names":false,"suffix":""},{"dropping-particle":"","family":"Neumann","given":"Peter J","non-dropping-particle":"","parse-names":false,"suffix":""},{"dropping-particle":"","family":"Ollendorf","given":"Daniel A","non-dropping-particle":"","parse-names":false,"suffix":""}],"container-title":"International Journal of Technology Assessment in Health Care","id":"ITEM-1","issue":"2","issued":{"date-parts":[["2020"]]},"page":"96–103","publisher":"Cambridge University Press","title":"Using QALYs versus DALYs to measure cost-effectiveness: How much does it matter?","type":"article-journal","volume":"36"},"uris":["http://www.mendeley.com/documents/?uuid=f0f7868a-7640-46a8-950f-c13cc6b56c9d"]}],"mendeley":{"formattedCitation":"&lt;sup&gt;11&lt;/sup&gt;","plainTextFormattedCitation":"11","previouslyFormattedCitation":"&lt;sup&gt;11&lt;/sup&gt;"},"properties":{"noteIndex":0},"schema":"https://github.com/citation-style-language/schema/raw/master/csl-citation.json"}</w:instrText>
      </w:r>
      <w:r w:rsidRPr="00B83B71">
        <w:rPr>
          <w:rFonts w:ascii="Times New Roman" w:hAnsi="Times New Roman" w:cs="Times New Roman"/>
          <w:sz w:val="24"/>
          <w:vertAlign w:val="superscript"/>
        </w:rPr>
        <w:fldChar w:fldCharType="separate"/>
      </w:r>
      <w:r w:rsidRPr="00B83B71">
        <w:rPr>
          <w:rFonts w:ascii="Times New Roman" w:hAnsi="Times New Roman" w:cs="Times New Roman"/>
          <w:sz w:val="24"/>
          <w:vertAlign w:val="superscript"/>
        </w:rPr>
        <w:t>11</w:t>
      </w:r>
      <w:r w:rsidRPr="00B83B71">
        <w:rPr>
          <w:rFonts w:ascii="Times New Roman" w:hAnsi="Times New Roman" w:cs="Times New Roman"/>
          <w:sz w:val="24"/>
          <w:vertAlign w:val="superscript"/>
        </w:rPr>
        <w:fldChar w:fldCharType="end"/>
      </w:r>
      <w:r>
        <w:rPr>
          <w:rFonts w:ascii="Times New Roman" w:hAnsi="Times New Roman" w:cs="Times New Roman"/>
          <w:sz w:val="24"/>
        </w:rPr>
        <w:t xml:space="preserve"> </w:t>
      </w:r>
      <w:r w:rsidRPr="00B83B71">
        <w:rPr>
          <w:rFonts w:ascii="Times New Roman" w:hAnsi="Times New Roman" w:cs="Times New Roman"/>
          <w:sz w:val="24"/>
        </w:rPr>
        <w:t xml:space="preserve">In general, results should be expected to be very similar when using DALYs or QALYs, except when the </w:t>
      </w:r>
      <w:proofErr w:type="spellStart"/>
      <w:r w:rsidRPr="00B83B71">
        <w:rPr>
          <w:rFonts w:ascii="Times New Roman" w:hAnsi="Times New Roman" w:cs="Times New Roman"/>
          <w:sz w:val="24"/>
        </w:rPr>
        <w:t>disutilities</w:t>
      </w:r>
      <w:proofErr w:type="spellEnd"/>
      <w:r w:rsidRPr="00B83B71">
        <w:rPr>
          <w:rFonts w:ascii="Times New Roman" w:hAnsi="Times New Roman" w:cs="Times New Roman"/>
          <w:sz w:val="24"/>
        </w:rPr>
        <w:t xml:space="preserve"> and disabilities are considerably different in important health states. When there are substantial differences, the reasons behind this should be evaluated.</w:t>
      </w:r>
      <w:r>
        <w:rPr>
          <w:rFonts w:ascii="Times New Roman" w:hAnsi="Times New Roman" w:cs="Times New Roman"/>
          <w:sz w:val="24"/>
        </w:rPr>
        <w:t xml:space="preserve"> </w:t>
      </w:r>
      <w:r w:rsidRPr="006F0394">
        <w:rPr>
          <w:rFonts w:ascii="Times New Roman" w:hAnsi="Times New Roman" w:cs="Times New Roman"/>
          <w:sz w:val="24"/>
        </w:rPr>
        <w:t>Future research should evaluate a wider range of life histories, including co-morbidities</w:t>
      </w:r>
      <w:r>
        <w:rPr>
          <w:rFonts w:ascii="Times New Roman" w:hAnsi="Times New Roman" w:cs="Times New Roman"/>
          <w:sz w:val="24"/>
        </w:rPr>
        <w:t xml:space="preserve">, health states duration </w:t>
      </w:r>
      <w:r w:rsidRPr="006F0394">
        <w:rPr>
          <w:rFonts w:ascii="Times New Roman" w:hAnsi="Times New Roman" w:cs="Times New Roman"/>
          <w:sz w:val="24"/>
        </w:rPr>
        <w:t>and the effects of treatment.</w:t>
      </w:r>
      <w:bookmarkStart w:id="4" w:name="_Hlk488341094"/>
      <w:bookmarkEnd w:id="3"/>
    </w:p>
    <w:p w:rsidR="00723741" w:rsidRDefault="00723741" w:rsidP="00723741">
      <w:pPr>
        <w:ind w:left="360"/>
        <w:jc w:val="both"/>
        <w:rPr>
          <w:rFonts w:ascii="Times New Roman" w:hAnsi="Times New Roman" w:cs="Times New Roman"/>
          <w:sz w:val="24"/>
        </w:rPr>
      </w:pPr>
      <w:r w:rsidRPr="006F0394">
        <w:rPr>
          <w:rFonts w:ascii="Times New Roman" w:hAnsi="Times New Roman" w:cs="Times New Roman"/>
          <w:sz w:val="24"/>
        </w:rPr>
        <w:t xml:space="preserve">In conclusion, our study demonstrates that using DALYs averted instead of QALYs gained to assess the effects on quality of life from breast cancer screening </w:t>
      </w:r>
      <w:r>
        <w:rPr>
          <w:rFonts w:ascii="Times New Roman" w:hAnsi="Times New Roman" w:cs="Times New Roman"/>
          <w:sz w:val="24"/>
        </w:rPr>
        <w:t xml:space="preserve">in the Netherlands </w:t>
      </w:r>
      <w:r w:rsidRPr="006F0394">
        <w:rPr>
          <w:rFonts w:ascii="Times New Roman" w:hAnsi="Times New Roman" w:cs="Times New Roman"/>
          <w:sz w:val="24"/>
        </w:rPr>
        <w:t>yields differences in results. Nevertheless, the relation between these two tools remained constant through all analyses. To align with literature and accommodate comparison across studies, we therefore recommend using DALYs for burden of disease studies and QALYs in cost-effectiveness analyses.</w:t>
      </w:r>
      <w:bookmarkEnd w:id="4"/>
    </w:p>
    <w:p w:rsidR="00723741" w:rsidRPr="00D726EA" w:rsidRDefault="00723741" w:rsidP="00723741">
      <w:pPr>
        <w:pBdr>
          <w:top w:val="none" w:sz="0" w:space="0" w:color="auto"/>
          <w:left w:val="none" w:sz="0" w:space="0" w:color="auto"/>
          <w:bottom w:val="none" w:sz="0" w:space="0" w:color="auto"/>
          <w:right w:val="none" w:sz="0" w:space="0" w:color="auto"/>
          <w:between w:val="none" w:sz="0" w:space="0" w:color="auto"/>
        </w:pBdr>
        <w:spacing w:after="160"/>
        <w:rPr>
          <w:rFonts w:ascii="Times New Roman" w:hAnsi="Times New Roman" w:cs="Times New Roman"/>
          <w:b/>
          <w:sz w:val="24"/>
        </w:rPr>
      </w:pPr>
      <w:r w:rsidRPr="00D726EA">
        <w:rPr>
          <w:rFonts w:ascii="Times New Roman" w:hAnsi="Times New Roman" w:cs="Times New Roman"/>
          <w:b/>
          <w:sz w:val="24"/>
        </w:rPr>
        <w:br w:type="page"/>
      </w:r>
    </w:p>
    <w:p w:rsidR="00723741" w:rsidRDefault="00723741" w:rsidP="00723741">
      <w:pPr>
        <w:pStyle w:val="Heading1-Manuscript"/>
        <w:spacing w:line="276" w:lineRule="auto"/>
        <w:rPr>
          <w:lang w:val="nl-NL"/>
        </w:rPr>
      </w:pPr>
      <w:r w:rsidRPr="0031503C">
        <w:rPr>
          <w:lang w:val="nl-NL"/>
        </w:rPr>
        <w:lastRenderedPageBreak/>
        <w:t>REFERENCES</w:t>
      </w:r>
    </w:p>
    <w:p w:rsidR="00723741" w:rsidRPr="0025550E" w:rsidRDefault="00723741" w:rsidP="00723741">
      <w:pPr>
        <w:widowControl w:val="0"/>
        <w:autoSpaceDE w:val="0"/>
        <w:autoSpaceDN w:val="0"/>
        <w:adjustRightInd w:val="0"/>
        <w:ind w:left="640" w:hanging="640"/>
        <w:rPr>
          <w:rFonts w:ascii="Times New Roman" w:hAnsi="Times New Roman" w:cs="Times New Roman"/>
          <w:noProof/>
          <w:sz w:val="24"/>
          <w:szCs w:val="24"/>
          <w:lang w:val="fr-FR"/>
        </w:rPr>
      </w:pPr>
      <w:r>
        <w:rPr>
          <w:rFonts w:ascii="Times New Roman" w:hAnsi="Times New Roman" w:cs="Times New Roman"/>
          <w:b/>
          <w:sz w:val="24"/>
          <w:lang w:val="nl-NL"/>
        </w:rPr>
        <w:fldChar w:fldCharType="begin" w:fldLock="1"/>
      </w:r>
      <w:r>
        <w:rPr>
          <w:rFonts w:ascii="Times New Roman" w:hAnsi="Times New Roman" w:cs="Times New Roman"/>
          <w:b/>
          <w:sz w:val="24"/>
          <w:lang w:val="nl-NL"/>
        </w:rPr>
        <w:instrText xml:space="preserve">ADDIN Mendeley Bibliography CSL_BIBLIOGRAPHY </w:instrText>
      </w:r>
      <w:r>
        <w:rPr>
          <w:rFonts w:ascii="Times New Roman" w:hAnsi="Times New Roman" w:cs="Times New Roman"/>
          <w:b/>
          <w:sz w:val="24"/>
          <w:lang w:val="nl-NL"/>
        </w:rPr>
        <w:fldChar w:fldCharType="separate"/>
      </w:r>
      <w:r w:rsidRPr="0064054A">
        <w:rPr>
          <w:rFonts w:ascii="Times New Roman" w:hAnsi="Times New Roman" w:cs="Times New Roman"/>
          <w:noProof/>
          <w:sz w:val="24"/>
          <w:szCs w:val="24"/>
          <w:lang w:val="nl-NL"/>
        </w:rPr>
        <w:t xml:space="preserve">1. </w:t>
      </w:r>
      <w:r w:rsidRPr="0064054A">
        <w:rPr>
          <w:rFonts w:ascii="Times New Roman" w:hAnsi="Times New Roman" w:cs="Times New Roman"/>
          <w:noProof/>
          <w:sz w:val="24"/>
          <w:szCs w:val="24"/>
          <w:lang w:val="nl-NL"/>
        </w:rPr>
        <w:tab/>
        <w:t xml:space="preserve">Sankatsing VD V, Heijnsdijk EAM, van Luijt PA, et al. </w:t>
      </w:r>
      <w:r w:rsidRPr="00AD4EB6">
        <w:rPr>
          <w:rFonts w:ascii="Times New Roman" w:hAnsi="Times New Roman" w:cs="Times New Roman"/>
          <w:noProof/>
          <w:sz w:val="24"/>
          <w:szCs w:val="24"/>
        </w:rPr>
        <w:t xml:space="preserve">Cost-effectiveness of digital mammography screening before the age of 50 in The Netherlands. </w:t>
      </w:r>
      <w:r w:rsidRPr="0075572F">
        <w:rPr>
          <w:rFonts w:ascii="Times New Roman" w:hAnsi="Times New Roman" w:cs="Times New Roman"/>
          <w:i/>
          <w:iCs/>
          <w:noProof/>
          <w:sz w:val="24"/>
          <w:szCs w:val="24"/>
          <w:lang w:val="fr-FR"/>
        </w:rPr>
        <w:t>Int J cancer</w:t>
      </w:r>
      <w:r w:rsidRPr="0075572F">
        <w:rPr>
          <w:rFonts w:ascii="Times New Roman" w:hAnsi="Times New Roman" w:cs="Times New Roman"/>
          <w:noProof/>
          <w:sz w:val="24"/>
          <w:szCs w:val="24"/>
          <w:lang w:val="fr-FR"/>
        </w:rPr>
        <w:t>. 2015;137(8):</w:t>
      </w:r>
      <w:r w:rsidRPr="0025550E">
        <w:rPr>
          <w:rFonts w:ascii="Times New Roman" w:hAnsi="Times New Roman" w:cs="Times New Roman"/>
          <w:noProof/>
          <w:sz w:val="24"/>
          <w:szCs w:val="24"/>
          <w:lang w:val="fr-FR"/>
        </w:rPr>
        <w:t>1990-1999. doi:10.1002/ijc.29572</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25550E">
        <w:rPr>
          <w:rFonts w:ascii="Times New Roman" w:hAnsi="Times New Roman" w:cs="Times New Roman"/>
          <w:noProof/>
          <w:sz w:val="24"/>
          <w:szCs w:val="24"/>
          <w:lang w:val="fr-FR"/>
        </w:rPr>
        <w:t xml:space="preserve">2. </w:t>
      </w:r>
      <w:r w:rsidRPr="0025550E">
        <w:rPr>
          <w:rFonts w:ascii="Times New Roman" w:hAnsi="Times New Roman" w:cs="Times New Roman"/>
          <w:noProof/>
          <w:sz w:val="24"/>
          <w:szCs w:val="24"/>
          <w:lang w:val="fr-FR"/>
        </w:rPr>
        <w:tab/>
        <w:t xml:space="preserve">Schunemann HJ, Lerda D, Quinn C, et al. </w:t>
      </w:r>
      <w:r w:rsidRPr="00AD4EB6">
        <w:rPr>
          <w:rFonts w:ascii="Times New Roman" w:hAnsi="Times New Roman" w:cs="Times New Roman"/>
          <w:noProof/>
          <w:sz w:val="24"/>
          <w:szCs w:val="24"/>
        </w:rPr>
        <w:t xml:space="preserve">Breast Cancer Screening and Diagnosis: A Synopsis of the European Breast Guidelines. </w:t>
      </w:r>
      <w:r w:rsidRPr="00AD4EB6">
        <w:rPr>
          <w:rFonts w:ascii="Times New Roman" w:hAnsi="Times New Roman" w:cs="Times New Roman"/>
          <w:i/>
          <w:iCs/>
          <w:noProof/>
          <w:sz w:val="24"/>
          <w:szCs w:val="24"/>
        </w:rPr>
        <w:t>Ann Intern Med</w:t>
      </w:r>
      <w:r w:rsidRPr="00AD4EB6">
        <w:rPr>
          <w:rFonts w:ascii="Times New Roman" w:hAnsi="Times New Roman" w:cs="Times New Roman"/>
          <w:noProof/>
          <w:sz w:val="24"/>
          <w:szCs w:val="24"/>
        </w:rPr>
        <w:t>. November 2019. doi:10.7326/M19-2125</w:t>
      </w:r>
    </w:p>
    <w:p w:rsidR="00723741" w:rsidRPr="00723741" w:rsidRDefault="00723741" w:rsidP="00723741">
      <w:pPr>
        <w:widowControl w:val="0"/>
        <w:autoSpaceDE w:val="0"/>
        <w:autoSpaceDN w:val="0"/>
        <w:adjustRightInd w:val="0"/>
        <w:ind w:left="640" w:hanging="640"/>
        <w:rPr>
          <w:rFonts w:ascii="Times New Roman" w:hAnsi="Times New Roman" w:cs="Times New Roman"/>
          <w:noProof/>
          <w:sz w:val="24"/>
          <w:szCs w:val="24"/>
          <w:lang w:val="nl-NL"/>
        </w:rPr>
      </w:pPr>
      <w:r w:rsidRPr="00AD4EB6">
        <w:rPr>
          <w:rFonts w:ascii="Times New Roman" w:hAnsi="Times New Roman" w:cs="Times New Roman"/>
          <w:noProof/>
          <w:sz w:val="24"/>
          <w:szCs w:val="24"/>
        </w:rPr>
        <w:t xml:space="preserve">3. </w:t>
      </w:r>
      <w:r w:rsidRPr="00AD4EB6">
        <w:rPr>
          <w:rFonts w:ascii="Times New Roman" w:hAnsi="Times New Roman" w:cs="Times New Roman"/>
          <w:noProof/>
          <w:sz w:val="24"/>
          <w:szCs w:val="24"/>
        </w:rPr>
        <w:tab/>
        <w:t xml:space="preserve">Lauby-Secretan B, Scoccianti C, Loomis D, et al. Breast-cancer screening-viewpoint of the IARC Working Group. </w:t>
      </w:r>
      <w:r w:rsidRPr="00723741">
        <w:rPr>
          <w:rFonts w:ascii="Times New Roman" w:hAnsi="Times New Roman" w:cs="Times New Roman"/>
          <w:i/>
          <w:iCs/>
          <w:noProof/>
          <w:sz w:val="24"/>
          <w:szCs w:val="24"/>
          <w:lang w:val="nl-NL"/>
        </w:rPr>
        <w:t>N Engl J Med</w:t>
      </w:r>
      <w:r w:rsidRPr="00723741">
        <w:rPr>
          <w:rFonts w:ascii="Times New Roman" w:hAnsi="Times New Roman" w:cs="Times New Roman"/>
          <w:noProof/>
          <w:sz w:val="24"/>
          <w:szCs w:val="24"/>
          <w:lang w:val="nl-NL"/>
        </w:rPr>
        <w:t>. 2015;372(24):2353-2358. doi:10.1056/NEJMsr1504363</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723741">
        <w:rPr>
          <w:rFonts w:ascii="Times New Roman" w:hAnsi="Times New Roman" w:cs="Times New Roman"/>
          <w:noProof/>
          <w:sz w:val="24"/>
          <w:szCs w:val="24"/>
          <w:lang w:val="nl-NL"/>
        </w:rPr>
        <w:t xml:space="preserve">4. </w:t>
      </w:r>
      <w:r w:rsidRPr="00723741">
        <w:rPr>
          <w:rFonts w:ascii="Times New Roman" w:hAnsi="Times New Roman" w:cs="Times New Roman"/>
          <w:noProof/>
          <w:sz w:val="24"/>
          <w:szCs w:val="24"/>
          <w:lang w:val="nl-NL"/>
        </w:rPr>
        <w:tab/>
        <w:t xml:space="preserve">van Luijt PA, Heijnsdijk EAM, de Koning HJ. </w:t>
      </w:r>
      <w:r w:rsidRPr="00AD4EB6">
        <w:rPr>
          <w:rFonts w:ascii="Times New Roman" w:hAnsi="Times New Roman" w:cs="Times New Roman"/>
          <w:noProof/>
          <w:sz w:val="24"/>
          <w:szCs w:val="24"/>
        </w:rPr>
        <w:t xml:space="preserve">Cost-effectiveness of the Norwegian breast cancer screening program. </w:t>
      </w:r>
      <w:r w:rsidRPr="00AD4EB6">
        <w:rPr>
          <w:rFonts w:ascii="Times New Roman" w:hAnsi="Times New Roman" w:cs="Times New Roman"/>
          <w:i/>
          <w:iCs/>
          <w:noProof/>
          <w:sz w:val="24"/>
          <w:szCs w:val="24"/>
        </w:rPr>
        <w:t>Int J cancer</w:t>
      </w:r>
      <w:r w:rsidRPr="00AD4EB6">
        <w:rPr>
          <w:rFonts w:ascii="Times New Roman" w:hAnsi="Times New Roman" w:cs="Times New Roman"/>
          <w:noProof/>
          <w:sz w:val="24"/>
          <w:szCs w:val="24"/>
        </w:rPr>
        <w:t>. 2017;140(4):833-840. doi:10.1002/ijc.30513</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5. </w:t>
      </w:r>
      <w:r w:rsidRPr="00AD4EB6">
        <w:rPr>
          <w:rFonts w:ascii="Times New Roman" w:hAnsi="Times New Roman" w:cs="Times New Roman"/>
          <w:noProof/>
          <w:sz w:val="24"/>
          <w:szCs w:val="24"/>
        </w:rPr>
        <w:tab/>
        <w:t>van Luijt P. Overdiagnosis in the Dutch and Norwegian breast cancer screening program. 2016. http://hdl.handle.net/1765/94339.</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6. </w:t>
      </w:r>
      <w:r w:rsidRPr="00AD4EB6">
        <w:rPr>
          <w:rFonts w:ascii="Times New Roman" w:hAnsi="Times New Roman" w:cs="Times New Roman"/>
          <w:noProof/>
          <w:sz w:val="24"/>
          <w:szCs w:val="24"/>
        </w:rPr>
        <w:tab/>
        <w:t xml:space="preserve">Gold MR, Stevenson D, Fryback DG. HALYs and QALYs and DALYs, Oh My: similarities and differences in summary measures of population Health. </w:t>
      </w:r>
      <w:r w:rsidRPr="00AD4EB6">
        <w:rPr>
          <w:rFonts w:ascii="Times New Roman" w:hAnsi="Times New Roman" w:cs="Times New Roman"/>
          <w:i/>
          <w:iCs/>
          <w:noProof/>
          <w:sz w:val="24"/>
          <w:szCs w:val="24"/>
        </w:rPr>
        <w:t>Annu Rev Public Health</w:t>
      </w:r>
      <w:r w:rsidRPr="00AD4EB6">
        <w:rPr>
          <w:rFonts w:ascii="Times New Roman" w:hAnsi="Times New Roman" w:cs="Times New Roman"/>
          <w:noProof/>
          <w:sz w:val="24"/>
          <w:szCs w:val="24"/>
        </w:rPr>
        <w:t>. 2002;23:115-134. doi:10.1146/annurev.publhealth.23.100901.140513</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64054A">
        <w:rPr>
          <w:rFonts w:ascii="Times New Roman" w:hAnsi="Times New Roman" w:cs="Times New Roman"/>
          <w:noProof/>
          <w:sz w:val="24"/>
          <w:szCs w:val="24"/>
          <w:lang w:val="de-CH"/>
        </w:rPr>
        <w:t xml:space="preserve">7. </w:t>
      </w:r>
      <w:r w:rsidRPr="0064054A">
        <w:rPr>
          <w:rFonts w:ascii="Times New Roman" w:hAnsi="Times New Roman" w:cs="Times New Roman"/>
          <w:noProof/>
          <w:sz w:val="24"/>
          <w:szCs w:val="24"/>
          <w:lang w:val="de-CH"/>
        </w:rPr>
        <w:tab/>
        <w:t xml:space="preserve">Leech AA, Kim DD, Cohen JT, Neumann PJ. </w:t>
      </w:r>
      <w:r w:rsidRPr="00AD4EB6">
        <w:rPr>
          <w:rFonts w:ascii="Times New Roman" w:hAnsi="Times New Roman" w:cs="Times New Roman"/>
          <w:noProof/>
          <w:sz w:val="24"/>
          <w:szCs w:val="24"/>
        </w:rPr>
        <w:t xml:space="preserve">Use and Misuse of Cost-Effectiveness Analysis Thresholds in Low- and Middle-Income Countries: Trends in Cost-per-DALY Studies. </w:t>
      </w:r>
      <w:r w:rsidRPr="00AD4EB6">
        <w:rPr>
          <w:rFonts w:ascii="Times New Roman" w:hAnsi="Times New Roman" w:cs="Times New Roman"/>
          <w:i/>
          <w:iCs/>
          <w:noProof/>
          <w:sz w:val="24"/>
          <w:szCs w:val="24"/>
        </w:rPr>
        <w:t>Value Heal</w:t>
      </w:r>
      <w:r w:rsidRPr="00AD4EB6">
        <w:rPr>
          <w:rFonts w:ascii="Times New Roman" w:hAnsi="Times New Roman" w:cs="Times New Roman"/>
          <w:noProof/>
          <w:sz w:val="24"/>
          <w:szCs w:val="24"/>
        </w:rPr>
        <w:t>. 2018;21(7):759-761. doi:10.1016/j.jval.2017.12.016</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8. </w:t>
      </w:r>
      <w:r w:rsidRPr="00AD4EB6">
        <w:rPr>
          <w:rFonts w:ascii="Times New Roman" w:hAnsi="Times New Roman" w:cs="Times New Roman"/>
          <w:noProof/>
          <w:sz w:val="24"/>
          <w:szCs w:val="24"/>
        </w:rPr>
        <w:tab/>
        <w:t xml:space="preserve">Neumann PJ, Thorat T, Zhong Y, et al. A Systematic Review of Cost-Effectiveness Studies Reporting Cost-per-DALY Averted. </w:t>
      </w:r>
      <w:r w:rsidRPr="00AD4EB6">
        <w:rPr>
          <w:rFonts w:ascii="Times New Roman" w:hAnsi="Times New Roman" w:cs="Times New Roman"/>
          <w:i/>
          <w:iCs/>
          <w:noProof/>
          <w:sz w:val="24"/>
          <w:szCs w:val="24"/>
        </w:rPr>
        <w:t>PLoS One</w:t>
      </w:r>
      <w:r w:rsidRPr="00AD4EB6">
        <w:rPr>
          <w:rFonts w:ascii="Times New Roman" w:hAnsi="Times New Roman" w:cs="Times New Roman"/>
          <w:noProof/>
          <w:sz w:val="24"/>
          <w:szCs w:val="24"/>
        </w:rPr>
        <w:t>. 2016;11(12):e0168512. doi:10.1371/journal.pone.0168512</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9. </w:t>
      </w:r>
      <w:r w:rsidRPr="00AD4EB6">
        <w:rPr>
          <w:rFonts w:ascii="Times New Roman" w:hAnsi="Times New Roman" w:cs="Times New Roman"/>
          <w:noProof/>
          <w:sz w:val="24"/>
          <w:szCs w:val="24"/>
        </w:rPr>
        <w:tab/>
        <w:t xml:space="preserve">Thorat T, Cangelosi M, Neumann P. Skills of the trade: The Tufts Cost-Effectiveness Analysis (CEA) Registry. </w:t>
      </w:r>
      <w:r w:rsidRPr="00AD4EB6">
        <w:rPr>
          <w:rFonts w:ascii="Times New Roman" w:hAnsi="Times New Roman" w:cs="Times New Roman"/>
          <w:i/>
          <w:iCs/>
          <w:noProof/>
          <w:sz w:val="24"/>
          <w:szCs w:val="24"/>
        </w:rPr>
        <w:t>J Benefit-Cost Anal</w:t>
      </w:r>
      <w:r w:rsidRPr="00AD4EB6">
        <w:rPr>
          <w:rFonts w:ascii="Times New Roman" w:hAnsi="Times New Roman" w:cs="Times New Roman"/>
          <w:noProof/>
          <w:sz w:val="24"/>
          <w:szCs w:val="24"/>
        </w:rPr>
        <w:t>. 2012;3:5. doi:10.1515/2152-2812.1114</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10. </w:t>
      </w:r>
      <w:r w:rsidRPr="00AD4EB6">
        <w:rPr>
          <w:rFonts w:ascii="Times New Roman" w:hAnsi="Times New Roman" w:cs="Times New Roman"/>
          <w:noProof/>
          <w:sz w:val="24"/>
          <w:szCs w:val="24"/>
        </w:rPr>
        <w:tab/>
        <w:t xml:space="preserve">Center for the Evaluation of Value and Risk in Health. The Cost-Effectiveness Analysis Registry. Institute for Clinical Research and Health Policy Studies, Tufts Medical Center. www.cearegistry.org. </w:t>
      </w:r>
      <w:r>
        <w:rPr>
          <w:rFonts w:ascii="Times New Roman" w:hAnsi="Times New Roman" w:cs="Times New Roman"/>
          <w:noProof/>
          <w:sz w:val="24"/>
          <w:szCs w:val="24"/>
        </w:rPr>
        <w:t>[</w:t>
      </w:r>
      <w:r w:rsidRPr="00AD4EB6">
        <w:rPr>
          <w:rFonts w:ascii="Times New Roman" w:hAnsi="Times New Roman" w:cs="Times New Roman"/>
          <w:noProof/>
          <w:sz w:val="24"/>
          <w:szCs w:val="24"/>
        </w:rPr>
        <w:t xml:space="preserve">Accessed </w:t>
      </w:r>
      <w:r>
        <w:rPr>
          <w:rFonts w:ascii="Times New Roman" w:hAnsi="Times New Roman" w:cs="Times New Roman"/>
          <w:noProof/>
          <w:sz w:val="24"/>
          <w:szCs w:val="24"/>
        </w:rPr>
        <w:t>August</w:t>
      </w:r>
      <w:r w:rsidRPr="00AD4EB6">
        <w:rPr>
          <w:rFonts w:ascii="Times New Roman" w:hAnsi="Times New Roman" w:cs="Times New Roman"/>
          <w:noProof/>
          <w:sz w:val="24"/>
          <w:szCs w:val="24"/>
        </w:rPr>
        <w:t xml:space="preserve"> 28, 2020</w:t>
      </w:r>
      <w:r>
        <w:rPr>
          <w:rFonts w:ascii="Times New Roman" w:hAnsi="Times New Roman" w:cs="Times New Roman"/>
          <w:noProof/>
          <w:sz w:val="24"/>
          <w:szCs w:val="24"/>
        </w:rPr>
        <w:t>]</w:t>
      </w:r>
      <w:r w:rsidRPr="00AD4EB6">
        <w:rPr>
          <w:rFonts w:ascii="Times New Roman" w:hAnsi="Times New Roman" w:cs="Times New Roman"/>
          <w:noProof/>
          <w:sz w:val="24"/>
          <w:szCs w:val="24"/>
        </w:rPr>
        <w:t>.</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25550E">
        <w:rPr>
          <w:rFonts w:ascii="Times New Roman" w:hAnsi="Times New Roman" w:cs="Times New Roman"/>
          <w:noProof/>
          <w:sz w:val="24"/>
          <w:szCs w:val="24"/>
          <w:lang w:val="de-CH"/>
        </w:rPr>
        <w:t xml:space="preserve">11. </w:t>
      </w:r>
      <w:r w:rsidRPr="0025550E">
        <w:rPr>
          <w:rFonts w:ascii="Times New Roman" w:hAnsi="Times New Roman" w:cs="Times New Roman"/>
          <w:noProof/>
          <w:sz w:val="24"/>
          <w:szCs w:val="24"/>
          <w:lang w:val="de-CH"/>
        </w:rPr>
        <w:tab/>
        <w:t xml:space="preserve">Feng X, Kim DD, Cohen JT, Neumann PJ, Ollendorf DA. </w:t>
      </w:r>
      <w:r w:rsidRPr="00AD4EB6">
        <w:rPr>
          <w:rFonts w:ascii="Times New Roman" w:hAnsi="Times New Roman" w:cs="Times New Roman"/>
          <w:noProof/>
          <w:sz w:val="24"/>
          <w:szCs w:val="24"/>
        </w:rPr>
        <w:t xml:space="preserve">Using QALYs versus DALYs to measure cost-effectiveness: How much does it matter? </w:t>
      </w:r>
      <w:r w:rsidRPr="00AD4EB6">
        <w:rPr>
          <w:rFonts w:ascii="Times New Roman" w:hAnsi="Times New Roman" w:cs="Times New Roman"/>
          <w:i/>
          <w:iCs/>
          <w:noProof/>
          <w:sz w:val="24"/>
          <w:szCs w:val="24"/>
        </w:rPr>
        <w:t>Int J Technol Assess Health Care</w:t>
      </w:r>
      <w:r w:rsidRPr="00AD4EB6">
        <w:rPr>
          <w:rFonts w:ascii="Times New Roman" w:hAnsi="Times New Roman" w:cs="Times New Roman"/>
          <w:noProof/>
          <w:sz w:val="24"/>
          <w:szCs w:val="24"/>
        </w:rPr>
        <w:t>. 2020;36(2):96–103. doi:10.1017/S0266462320000124</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12. </w:t>
      </w:r>
      <w:r w:rsidRPr="00AD4EB6">
        <w:rPr>
          <w:rFonts w:ascii="Times New Roman" w:hAnsi="Times New Roman" w:cs="Times New Roman"/>
          <w:noProof/>
          <w:sz w:val="24"/>
          <w:szCs w:val="24"/>
        </w:rPr>
        <w:tab/>
        <w:t xml:space="preserve">Fox-Rushby JA, Hanson K. Calculating and presenting disability adjusted life years (DALYs) in cost-effectiveness analysis. </w:t>
      </w:r>
      <w:r w:rsidRPr="00AD4EB6">
        <w:rPr>
          <w:rFonts w:ascii="Times New Roman" w:hAnsi="Times New Roman" w:cs="Times New Roman"/>
          <w:i/>
          <w:iCs/>
          <w:noProof/>
          <w:sz w:val="24"/>
          <w:szCs w:val="24"/>
        </w:rPr>
        <w:t>Health Policy Plan</w:t>
      </w:r>
      <w:r w:rsidRPr="00AD4EB6">
        <w:rPr>
          <w:rFonts w:ascii="Times New Roman" w:hAnsi="Times New Roman" w:cs="Times New Roman"/>
          <w:noProof/>
          <w:sz w:val="24"/>
          <w:szCs w:val="24"/>
        </w:rPr>
        <w:t>. 2001;16(3):326-331. doi:10.1093/heapol/16.3.326</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13. </w:t>
      </w:r>
      <w:r w:rsidRPr="00AD4EB6">
        <w:rPr>
          <w:rFonts w:ascii="Times New Roman" w:hAnsi="Times New Roman" w:cs="Times New Roman"/>
          <w:noProof/>
          <w:sz w:val="24"/>
          <w:szCs w:val="24"/>
        </w:rPr>
        <w:tab/>
        <w:t xml:space="preserve">Salomon JA, Vos T, Hogan DR, et al. Common values in assessing health outcomes </w:t>
      </w:r>
      <w:r w:rsidRPr="00AD4EB6">
        <w:rPr>
          <w:rFonts w:ascii="Times New Roman" w:hAnsi="Times New Roman" w:cs="Times New Roman"/>
          <w:noProof/>
          <w:sz w:val="24"/>
          <w:szCs w:val="24"/>
        </w:rPr>
        <w:lastRenderedPageBreak/>
        <w:t xml:space="preserve">from disease and injury: disability weights measurement study for the Global Burden of Disease Study 2010. </w:t>
      </w:r>
      <w:r w:rsidRPr="00AD4EB6">
        <w:rPr>
          <w:rFonts w:ascii="Times New Roman" w:hAnsi="Times New Roman" w:cs="Times New Roman"/>
          <w:i/>
          <w:iCs/>
          <w:noProof/>
          <w:sz w:val="24"/>
          <w:szCs w:val="24"/>
        </w:rPr>
        <w:t>Lancet (London, England)</w:t>
      </w:r>
      <w:r w:rsidRPr="00AD4EB6">
        <w:rPr>
          <w:rFonts w:ascii="Times New Roman" w:hAnsi="Times New Roman" w:cs="Times New Roman"/>
          <w:noProof/>
          <w:sz w:val="24"/>
          <w:szCs w:val="24"/>
        </w:rPr>
        <w:t>. 2012;380(9859):2129-2143. doi:10.1016/S0140-6736(12)61680-8</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14. </w:t>
      </w:r>
      <w:r w:rsidRPr="00AD4EB6">
        <w:rPr>
          <w:rFonts w:ascii="Times New Roman" w:hAnsi="Times New Roman" w:cs="Times New Roman"/>
          <w:noProof/>
          <w:sz w:val="24"/>
          <w:szCs w:val="24"/>
        </w:rPr>
        <w:tab/>
        <w:t xml:space="preserve">Salomon JA, Haagsma JA, Davis A, et al. Disability weights for the Global Burden of Disease 2013 study. </w:t>
      </w:r>
      <w:r w:rsidRPr="00AD4EB6">
        <w:rPr>
          <w:rFonts w:ascii="Times New Roman" w:hAnsi="Times New Roman" w:cs="Times New Roman"/>
          <w:i/>
          <w:iCs/>
          <w:noProof/>
          <w:sz w:val="24"/>
          <w:szCs w:val="24"/>
        </w:rPr>
        <w:t>Lancet Glob Heal</w:t>
      </w:r>
      <w:r w:rsidRPr="00AD4EB6">
        <w:rPr>
          <w:rFonts w:ascii="Times New Roman" w:hAnsi="Times New Roman" w:cs="Times New Roman"/>
          <w:noProof/>
          <w:sz w:val="24"/>
          <w:szCs w:val="24"/>
        </w:rPr>
        <w:t>. 2015;3(11):e712-23. doi:10.1016/S2214-109X(15)00069-8</w:t>
      </w:r>
    </w:p>
    <w:p w:rsidR="00723741" w:rsidRPr="00723741" w:rsidRDefault="00723741" w:rsidP="00723741">
      <w:pPr>
        <w:widowControl w:val="0"/>
        <w:autoSpaceDE w:val="0"/>
        <w:autoSpaceDN w:val="0"/>
        <w:adjustRightInd w:val="0"/>
        <w:ind w:left="640" w:hanging="640"/>
        <w:rPr>
          <w:rFonts w:ascii="Times New Roman" w:hAnsi="Times New Roman" w:cs="Times New Roman"/>
          <w:noProof/>
          <w:sz w:val="24"/>
          <w:szCs w:val="24"/>
          <w:lang w:val="nl-NL"/>
        </w:rPr>
      </w:pPr>
      <w:r w:rsidRPr="00AD4EB6">
        <w:rPr>
          <w:rFonts w:ascii="Times New Roman" w:hAnsi="Times New Roman" w:cs="Times New Roman"/>
          <w:noProof/>
          <w:sz w:val="24"/>
          <w:szCs w:val="24"/>
        </w:rPr>
        <w:t xml:space="preserve">15. </w:t>
      </w:r>
      <w:r w:rsidRPr="00AD4EB6">
        <w:rPr>
          <w:rFonts w:ascii="Times New Roman" w:hAnsi="Times New Roman" w:cs="Times New Roman"/>
          <w:noProof/>
          <w:sz w:val="24"/>
          <w:szCs w:val="24"/>
        </w:rPr>
        <w:tab/>
        <w:t xml:space="preserve">Institute for Health Metrics and Evaluation. Global Burden of Disease Study 2016 (GBD 2016) Results. </w:t>
      </w:r>
      <w:r w:rsidRPr="00723741">
        <w:rPr>
          <w:rFonts w:ascii="Times New Roman" w:hAnsi="Times New Roman" w:cs="Times New Roman"/>
          <w:i/>
          <w:iCs/>
          <w:noProof/>
          <w:sz w:val="24"/>
          <w:szCs w:val="24"/>
          <w:lang w:val="nl-NL"/>
        </w:rPr>
        <w:t>Glob Burd Dis Collab Netw</w:t>
      </w:r>
      <w:r w:rsidRPr="00723741">
        <w:rPr>
          <w:rFonts w:ascii="Times New Roman" w:hAnsi="Times New Roman" w:cs="Times New Roman"/>
          <w:noProof/>
          <w:sz w:val="24"/>
          <w:szCs w:val="24"/>
          <w:lang w:val="nl-NL"/>
        </w:rPr>
        <w:t>. 2017.</w:t>
      </w:r>
    </w:p>
    <w:p w:rsidR="00723741" w:rsidRPr="00723741" w:rsidRDefault="00723741" w:rsidP="00723741">
      <w:pPr>
        <w:widowControl w:val="0"/>
        <w:autoSpaceDE w:val="0"/>
        <w:autoSpaceDN w:val="0"/>
        <w:adjustRightInd w:val="0"/>
        <w:ind w:left="640" w:hanging="640"/>
        <w:rPr>
          <w:rFonts w:ascii="Times New Roman" w:hAnsi="Times New Roman" w:cs="Times New Roman"/>
          <w:noProof/>
          <w:sz w:val="24"/>
          <w:szCs w:val="24"/>
          <w:lang w:val="nl-NL"/>
        </w:rPr>
      </w:pPr>
      <w:r w:rsidRPr="00723741">
        <w:rPr>
          <w:rFonts w:ascii="Times New Roman" w:hAnsi="Times New Roman" w:cs="Times New Roman"/>
          <w:noProof/>
          <w:sz w:val="24"/>
          <w:szCs w:val="24"/>
          <w:lang w:val="nl-NL"/>
        </w:rPr>
        <w:t xml:space="preserve">16. </w:t>
      </w:r>
      <w:r w:rsidRPr="00723741">
        <w:rPr>
          <w:rFonts w:ascii="Times New Roman" w:hAnsi="Times New Roman" w:cs="Times New Roman"/>
          <w:noProof/>
          <w:sz w:val="24"/>
          <w:szCs w:val="24"/>
          <w:lang w:val="nl-NL"/>
        </w:rPr>
        <w:tab/>
        <w:t xml:space="preserve">de Haes JC, de Koning HJ, van Oortmarssen GJ, van Agt HM, de Bruyn AE, van Der Maas PJ. </w:t>
      </w:r>
      <w:r w:rsidRPr="00AD4EB6">
        <w:rPr>
          <w:rFonts w:ascii="Times New Roman" w:hAnsi="Times New Roman" w:cs="Times New Roman"/>
          <w:noProof/>
          <w:sz w:val="24"/>
          <w:szCs w:val="24"/>
        </w:rPr>
        <w:t xml:space="preserve">The impact of a breast cancer screening programme on quality-adjusted life-years. </w:t>
      </w:r>
      <w:r w:rsidRPr="00723741">
        <w:rPr>
          <w:rFonts w:ascii="Times New Roman" w:hAnsi="Times New Roman" w:cs="Times New Roman"/>
          <w:i/>
          <w:iCs/>
          <w:noProof/>
          <w:sz w:val="24"/>
          <w:szCs w:val="24"/>
          <w:lang w:val="nl-NL"/>
        </w:rPr>
        <w:t>Int J cancer</w:t>
      </w:r>
      <w:r w:rsidRPr="00723741">
        <w:rPr>
          <w:rFonts w:ascii="Times New Roman" w:hAnsi="Times New Roman" w:cs="Times New Roman"/>
          <w:noProof/>
          <w:sz w:val="24"/>
          <w:szCs w:val="24"/>
          <w:lang w:val="nl-NL"/>
        </w:rPr>
        <w:t>. 1991;49(4):538-544. doi:10.1002/ijc.2910490411</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723741">
        <w:rPr>
          <w:rFonts w:ascii="Times New Roman" w:hAnsi="Times New Roman" w:cs="Times New Roman"/>
          <w:noProof/>
          <w:sz w:val="24"/>
          <w:szCs w:val="24"/>
          <w:lang w:val="nl-NL"/>
        </w:rPr>
        <w:t xml:space="preserve">17. </w:t>
      </w:r>
      <w:r w:rsidRPr="00723741">
        <w:rPr>
          <w:rFonts w:ascii="Times New Roman" w:hAnsi="Times New Roman" w:cs="Times New Roman"/>
          <w:noProof/>
          <w:sz w:val="24"/>
          <w:szCs w:val="24"/>
          <w:lang w:val="nl-NL"/>
        </w:rPr>
        <w:tab/>
        <w:t xml:space="preserve">de Koning HJ, van Ineveld BM, van Oortmarssen GJ, et al. </w:t>
      </w:r>
      <w:r w:rsidRPr="00AD4EB6">
        <w:rPr>
          <w:rFonts w:ascii="Times New Roman" w:hAnsi="Times New Roman" w:cs="Times New Roman"/>
          <w:noProof/>
          <w:sz w:val="24"/>
          <w:szCs w:val="24"/>
        </w:rPr>
        <w:t xml:space="preserve">Breast cancer screening and cost-effectiveness; policy alternatives, quality of life considerations and the possible impact of uncertain factors. </w:t>
      </w:r>
      <w:r w:rsidRPr="00AD4EB6">
        <w:rPr>
          <w:rFonts w:ascii="Times New Roman" w:hAnsi="Times New Roman" w:cs="Times New Roman"/>
          <w:i/>
          <w:iCs/>
          <w:noProof/>
          <w:sz w:val="24"/>
          <w:szCs w:val="24"/>
        </w:rPr>
        <w:t>Int J cancer</w:t>
      </w:r>
      <w:r w:rsidRPr="00AD4EB6">
        <w:rPr>
          <w:rFonts w:ascii="Times New Roman" w:hAnsi="Times New Roman" w:cs="Times New Roman"/>
          <w:noProof/>
          <w:sz w:val="24"/>
          <w:szCs w:val="24"/>
        </w:rPr>
        <w:t>. 1991;49(4):531-537. doi:10.1002/ijc.2910490410</w:t>
      </w:r>
    </w:p>
    <w:p w:rsidR="00723741" w:rsidRPr="00723741" w:rsidRDefault="00723741" w:rsidP="00723741">
      <w:pPr>
        <w:widowControl w:val="0"/>
        <w:autoSpaceDE w:val="0"/>
        <w:autoSpaceDN w:val="0"/>
        <w:adjustRightInd w:val="0"/>
        <w:ind w:left="640" w:hanging="640"/>
        <w:rPr>
          <w:rFonts w:ascii="Times New Roman" w:hAnsi="Times New Roman" w:cs="Times New Roman"/>
          <w:noProof/>
          <w:sz w:val="24"/>
          <w:szCs w:val="24"/>
          <w:lang w:val="nl-NL"/>
        </w:rPr>
      </w:pPr>
      <w:r w:rsidRPr="00AD4EB6">
        <w:rPr>
          <w:rFonts w:ascii="Times New Roman" w:hAnsi="Times New Roman" w:cs="Times New Roman"/>
          <w:noProof/>
          <w:sz w:val="24"/>
          <w:szCs w:val="24"/>
        </w:rPr>
        <w:t xml:space="preserve">18. </w:t>
      </w:r>
      <w:r w:rsidRPr="00AD4EB6">
        <w:rPr>
          <w:rFonts w:ascii="Times New Roman" w:hAnsi="Times New Roman" w:cs="Times New Roman"/>
          <w:noProof/>
          <w:sz w:val="24"/>
          <w:szCs w:val="24"/>
        </w:rPr>
        <w:tab/>
        <w:t xml:space="preserve">Lloyd A, Nafees B, Narewska J, Dewilde S, Watkins J. Health state utilities for metastatic breast cancer. </w:t>
      </w:r>
      <w:r w:rsidRPr="00723741">
        <w:rPr>
          <w:rFonts w:ascii="Times New Roman" w:hAnsi="Times New Roman" w:cs="Times New Roman"/>
          <w:i/>
          <w:iCs/>
          <w:noProof/>
          <w:sz w:val="24"/>
          <w:szCs w:val="24"/>
          <w:lang w:val="nl-NL"/>
        </w:rPr>
        <w:t>Br J Cancer</w:t>
      </w:r>
      <w:r w:rsidRPr="00723741">
        <w:rPr>
          <w:rFonts w:ascii="Times New Roman" w:hAnsi="Times New Roman" w:cs="Times New Roman"/>
          <w:noProof/>
          <w:sz w:val="24"/>
          <w:szCs w:val="24"/>
          <w:lang w:val="nl-NL"/>
        </w:rPr>
        <w:t>. 2006;95(6):683-690. doi:10.1038/sj.bjc.6603326</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723741">
        <w:rPr>
          <w:rFonts w:ascii="Times New Roman" w:hAnsi="Times New Roman" w:cs="Times New Roman"/>
          <w:noProof/>
          <w:sz w:val="24"/>
          <w:szCs w:val="24"/>
          <w:lang w:val="nl-NL"/>
        </w:rPr>
        <w:t xml:space="preserve">19. </w:t>
      </w:r>
      <w:r w:rsidRPr="00723741">
        <w:rPr>
          <w:rFonts w:ascii="Times New Roman" w:hAnsi="Times New Roman" w:cs="Times New Roman"/>
          <w:noProof/>
          <w:sz w:val="24"/>
          <w:szCs w:val="24"/>
          <w:lang w:val="nl-NL"/>
        </w:rPr>
        <w:tab/>
        <w:t xml:space="preserve">Habbema JD, van Oortmarssen GJ, Lubbe JT, van der Maas PJ. </w:t>
      </w:r>
      <w:r w:rsidRPr="00AD4EB6">
        <w:rPr>
          <w:rFonts w:ascii="Times New Roman" w:hAnsi="Times New Roman" w:cs="Times New Roman"/>
          <w:noProof/>
          <w:sz w:val="24"/>
          <w:szCs w:val="24"/>
        </w:rPr>
        <w:t xml:space="preserve">The MISCAN simulation program for the evaluation of screening for disease. </w:t>
      </w:r>
      <w:r w:rsidRPr="00AD4EB6">
        <w:rPr>
          <w:rFonts w:ascii="Times New Roman" w:hAnsi="Times New Roman" w:cs="Times New Roman"/>
          <w:i/>
          <w:iCs/>
          <w:noProof/>
          <w:sz w:val="24"/>
          <w:szCs w:val="24"/>
        </w:rPr>
        <w:t>Comput Methods Programs Biomed</w:t>
      </w:r>
      <w:r w:rsidRPr="00AD4EB6">
        <w:rPr>
          <w:rFonts w:ascii="Times New Roman" w:hAnsi="Times New Roman" w:cs="Times New Roman"/>
          <w:noProof/>
          <w:sz w:val="24"/>
          <w:szCs w:val="24"/>
        </w:rPr>
        <w:t>. 1985;20(1):79-93. doi:10.1016/0169-2607(85)90048-3</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20. </w:t>
      </w:r>
      <w:r w:rsidRPr="00AD4EB6">
        <w:rPr>
          <w:rFonts w:ascii="Times New Roman" w:hAnsi="Times New Roman" w:cs="Times New Roman"/>
          <w:noProof/>
          <w:sz w:val="24"/>
          <w:szCs w:val="24"/>
        </w:rPr>
        <w:tab/>
        <w:t xml:space="preserve">World Health Organization. Global Health Observatory (GHO): the data repository. World Health Organization. http://apps.who.int/gho/data/?theme=main&amp;vid=61160. Published 2014. </w:t>
      </w:r>
      <w:r>
        <w:rPr>
          <w:rFonts w:ascii="Times New Roman" w:hAnsi="Times New Roman" w:cs="Times New Roman"/>
          <w:noProof/>
          <w:sz w:val="24"/>
          <w:szCs w:val="24"/>
        </w:rPr>
        <w:t>[Accessed August 19, 2020]</w:t>
      </w:r>
      <w:r w:rsidRPr="00AD4EB6">
        <w:rPr>
          <w:rFonts w:ascii="Times New Roman" w:hAnsi="Times New Roman" w:cs="Times New Roman"/>
          <w:noProof/>
          <w:sz w:val="24"/>
          <w:szCs w:val="24"/>
        </w:rPr>
        <w:t>.</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21. </w:t>
      </w:r>
      <w:r w:rsidRPr="00AD4EB6">
        <w:rPr>
          <w:rFonts w:ascii="Times New Roman" w:hAnsi="Times New Roman" w:cs="Times New Roman"/>
          <w:noProof/>
          <w:sz w:val="24"/>
          <w:szCs w:val="24"/>
        </w:rPr>
        <w:tab/>
      </w:r>
      <w:r w:rsidRPr="00AD4EB6">
        <w:rPr>
          <w:rFonts w:ascii="Times New Roman" w:hAnsi="Times New Roman" w:cs="Times New Roman"/>
          <w:i/>
          <w:iCs/>
          <w:noProof/>
          <w:sz w:val="24"/>
          <w:szCs w:val="24"/>
        </w:rPr>
        <w:t>National Evaluation Team for Breast Cancer Screening (NETB). National Evaluation of Breast Cancer Screening in the Netherlands 1990-2011/2012.</w:t>
      </w:r>
      <w:r w:rsidRPr="00AD4EB6">
        <w:rPr>
          <w:rFonts w:ascii="Times New Roman" w:hAnsi="Times New Roman" w:cs="Times New Roman"/>
          <w:noProof/>
          <w:sz w:val="24"/>
          <w:szCs w:val="24"/>
        </w:rPr>
        <w:t xml:space="preserve"> Rotterdam, The Netherlands; 2014.</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22. </w:t>
      </w:r>
      <w:r w:rsidRPr="00AD4EB6">
        <w:rPr>
          <w:rFonts w:ascii="Times New Roman" w:hAnsi="Times New Roman" w:cs="Times New Roman"/>
          <w:noProof/>
          <w:sz w:val="24"/>
          <w:szCs w:val="24"/>
        </w:rPr>
        <w:tab/>
        <w:t xml:space="preserve">IKCnet. Cijfersoverkanker.nl. Netherlands. www.cijfersoverkanker.nl. </w:t>
      </w:r>
      <w:r>
        <w:rPr>
          <w:rFonts w:ascii="Times New Roman" w:hAnsi="Times New Roman" w:cs="Times New Roman"/>
          <w:noProof/>
          <w:sz w:val="24"/>
          <w:szCs w:val="24"/>
        </w:rPr>
        <w:t>[</w:t>
      </w:r>
      <w:r w:rsidRPr="00AD4EB6">
        <w:rPr>
          <w:rFonts w:ascii="Times New Roman" w:hAnsi="Times New Roman" w:cs="Times New Roman"/>
          <w:noProof/>
          <w:sz w:val="24"/>
          <w:szCs w:val="24"/>
        </w:rPr>
        <w:t xml:space="preserve">Accessed </w:t>
      </w:r>
      <w:r>
        <w:rPr>
          <w:rFonts w:ascii="Times New Roman" w:hAnsi="Times New Roman" w:cs="Times New Roman"/>
          <w:noProof/>
          <w:sz w:val="24"/>
          <w:szCs w:val="24"/>
        </w:rPr>
        <w:t>August 10, 2020]</w:t>
      </w:r>
      <w:r w:rsidRPr="00AD4EB6">
        <w:rPr>
          <w:rFonts w:ascii="Times New Roman" w:hAnsi="Times New Roman" w:cs="Times New Roman"/>
          <w:noProof/>
          <w:sz w:val="24"/>
          <w:szCs w:val="24"/>
        </w:rPr>
        <w:t>.</w:t>
      </w:r>
    </w:p>
    <w:p w:rsidR="00723741" w:rsidRPr="0025550E" w:rsidRDefault="00723741" w:rsidP="00723741">
      <w:pPr>
        <w:widowControl w:val="0"/>
        <w:autoSpaceDE w:val="0"/>
        <w:autoSpaceDN w:val="0"/>
        <w:adjustRightInd w:val="0"/>
        <w:ind w:left="640" w:hanging="640"/>
        <w:rPr>
          <w:rFonts w:ascii="Times New Roman" w:hAnsi="Times New Roman" w:cs="Times New Roman"/>
          <w:noProof/>
          <w:sz w:val="24"/>
          <w:szCs w:val="24"/>
          <w:lang w:val="fr-FR"/>
        </w:rPr>
      </w:pPr>
      <w:r w:rsidRPr="00AD4EB6">
        <w:rPr>
          <w:rFonts w:ascii="Times New Roman" w:hAnsi="Times New Roman" w:cs="Times New Roman"/>
          <w:noProof/>
          <w:sz w:val="24"/>
          <w:szCs w:val="24"/>
        </w:rPr>
        <w:t xml:space="preserve">23. </w:t>
      </w:r>
      <w:r w:rsidRPr="00AD4EB6">
        <w:rPr>
          <w:rFonts w:ascii="Times New Roman" w:hAnsi="Times New Roman" w:cs="Times New Roman"/>
          <w:noProof/>
          <w:sz w:val="24"/>
          <w:szCs w:val="24"/>
        </w:rPr>
        <w:tab/>
        <w:t xml:space="preserve">Saadatmand S, Tilanus-Linthorst MMA, Rutgers EJT, et al. Cost-effectiveness of screening women with familial risk for breast cancer with magnetic resonance imaging. </w:t>
      </w:r>
      <w:r w:rsidRPr="0025550E">
        <w:rPr>
          <w:rFonts w:ascii="Times New Roman" w:hAnsi="Times New Roman" w:cs="Times New Roman"/>
          <w:i/>
          <w:iCs/>
          <w:noProof/>
          <w:sz w:val="24"/>
          <w:szCs w:val="24"/>
          <w:lang w:val="fr-FR"/>
        </w:rPr>
        <w:t>J Natl Cancer Inst</w:t>
      </w:r>
      <w:r w:rsidRPr="0025550E">
        <w:rPr>
          <w:rFonts w:ascii="Times New Roman" w:hAnsi="Times New Roman" w:cs="Times New Roman"/>
          <w:noProof/>
          <w:sz w:val="24"/>
          <w:szCs w:val="24"/>
          <w:lang w:val="fr-FR"/>
        </w:rPr>
        <w:t>. 2013;105(17):1314-1321. doi:10.1093/jnci/djt203</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25550E">
        <w:rPr>
          <w:rFonts w:ascii="Times New Roman" w:hAnsi="Times New Roman" w:cs="Times New Roman"/>
          <w:noProof/>
          <w:sz w:val="24"/>
          <w:szCs w:val="24"/>
          <w:lang w:val="fr-FR"/>
        </w:rPr>
        <w:t xml:space="preserve">24. </w:t>
      </w:r>
      <w:r w:rsidRPr="0025550E">
        <w:rPr>
          <w:rFonts w:ascii="Times New Roman" w:hAnsi="Times New Roman" w:cs="Times New Roman"/>
          <w:noProof/>
          <w:sz w:val="24"/>
          <w:szCs w:val="24"/>
          <w:lang w:val="fr-FR"/>
        </w:rPr>
        <w:tab/>
        <w:t xml:space="preserve">Baltussen RMPM, Adam T, Tan-Torres Edejer T, et al. </w:t>
      </w:r>
      <w:r w:rsidRPr="00AD4EB6">
        <w:rPr>
          <w:rFonts w:ascii="Times New Roman" w:hAnsi="Times New Roman" w:cs="Times New Roman"/>
          <w:i/>
          <w:iCs/>
          <w:noProof/>
          <w:sz w:val="24"/>
          <w:szCs w:val="24"/>
        </w:rPr>
        <w:t>Making Choices in Health : WHO Guide to Cost-Effectiveness Analysis / Edited by T. Tan-Torres Edejer ... [et Al]</w:t>
      </w:r>
      <w:r w:rsidRPr="00AD4EB6">
        <w:rPr>
          <w:rFonts w:ascii="Times New Roman" w:hAnsi="Times New Roman" w:cs="Times New Roman"/>
          <w:noProof/>
          <w:sz w:val="24"/>
          <w:szCs w:val="24"/>
        </w:rPr>
        <w:t>. World Health Organization; 2003.</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25. </w:t>
      </w:r>
      <w:r w:rsidRPr="00AD4EB6">
        <w:rPr>
          <w:rFonts w:ascii="Times New Roman" w:hAnsi="Times New Roman" w:cs="Times New Roman"/>
          <w:noProof/>
          <w:sz w:val="24"/>
          <w:szCs w:val="24"/>
        </w:rPr>
        <w:tab/>
        <w:t xml:space="preserve">Zorginstituut Nederland. </w:t>
      </w:r>
      <w:r w:rsidRPr="00AD4EB6">
        <w:rPr>
          <w:rFonts w:ascii="Times New Roman" w:hAnsi="Times New Roman" w:cs="Times New Roman"/>
          <w:i/>
          <w:iCs/>
          <w:noProof/>
          <w:sz w:val="24"/>
          <w:szCs w:val="24"/>
        </w:rPr>
        <w:t>Cost-Effectiveness in Practice</w:t>
      </w:r>
      <w:r w:rsidRPr="00AD4EB6">
        <w:rPr>
          <w:rFonts w:ascii="Times New Roman" w:hAnsi="Times New Roman" w:cs="Times New Roman"/>
          <w:noProof/>
          <w:sz w:val="24"/>
          <w:szCs w:val="24"/>
        </w:rPr>
        <w:t>.; 2015.</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lastRenderedPageBreak/>
        <w:t xml:space="preserve">26. </w:t>
      </w:r>
      <w:r w:rsidRPr="00AD4EB6">
        <w:rPr>
          <w:rFonts w:ascii="Times New Roman" w:hAnsi="Times New Roman" w:cs="Times New Roman"/>
          <w:noProof/>
          <w:sz w:val="24"/>
          <w:szCs w:val="24"/>
        </w:rPr>
        <w:tab/>
        <w:t xml:space="preserve">Rashidian A, Barfar E, Hosseini H, Nosratnejad S, Barooti E. Cost effectiveness of breast cancer screening using mammography; a systematic review. </w:t>
      </w:r>
      <w:r w:rsidRPr="00AD4EB6">
        <w:rPr>
          <w:rFonts w:ascii="Times New Roman" w:hAnsi="Times New Roman" w:cs="Times New Roman"/>
          <w:i/>
          <w:iCs/>
          <w:noProof/>
          <w:sz w:val="24"/>
          <w:szCs w:val="24"/>
        </w:rPr>
        <w:t>Iran J Public Health</w:t>
      </w:r>
      <w:r w:rsidRPr="00AD4EB6">
        <w:rPr>
          <w:rFonts w:ascii="Times New Roman" w:hAnsi="Times New Roman" w:cs="Times New Roman"/>
          <w:noProof/>
          <w:sz w:val="24"/>
          <w:szCs w:val="24"/>
        </w:rPr>
        <w:t>. 2013;42(4):347-357.</w:t>
      </w:r>
    </w:p>
    <w:p w:rsidR="00723741" w:rsidRPr="00723741" w:rsidRDefault="00723741" w:rsidP="00723741">
      <w:pPr>
        <w:widowControl w:val="0"/>
        <w:autoSpaceDE w:val="0"/>
        <w:autoSpaceDN w:val="0"/>
        <w:adjustRightInd w:val="0"/>
        <w:ind w:left="640" w:hanging="640"/>
        <w:rPr>
          <w:rFonts w:ascii="Times New Roman" w:hAnsi="Times New Roman" w:cs="Times New Roman"/>
          <w:noProof/>
          <w:sz w:val="24"/>
          <w:szCs w:val="24"/>
          <w:lang w:val="nl-NL"/>
        </w:rPr>
      </w:pPr>
      <w:r w:rsidRPr="00AD4EB6">
        <w:rPr>
          <w:rFonts w:ascii="Times New Roman" w:hAnsi="Times New Roman" w:cs="Times New Roman"/>
          <w:noProof/>
          <w:sz w:val="24"/>
          <w:szCs w:val="24"/>
        </w:rPr>
        <w:t xml:space="preserve">27. </w:t>
      </w:r>
      <w:r w:rsidRPr="00AD4EB6">
        <w:rPr>
          <w:rFonts w:ascii="Times New Roman" w:hAnsi="Times New Roman" w:cs="Times New Roman"/>
          <w:noProof/>
          <w:sz w:val="24"/>
          <w:szCs w:val="24"/>
        </w:rPr>
        <w:tab/>
        <w:t xml:space="preserve">Mittmann N, Stout NK, Tosteson ANA, Trentham-Dietz A, Alagoz O, Yaffe MJ. Cost-effectiveness of mammography from a publicly funded health care system perspective. </w:t>
      </w:r>
      <w:r w:rsidRPr="00723741">
        <w:rPr>
          <w:rFonts w:ascii="Times New Roman" w:hAnsi="Times New Roman" w:cs="Times New Roman"/>
          <w:i/>
          <w:iCs/>
          <w:noProof/>
          <w:sz w:val="24"/>
          <w:szCs w:val="24"/>
          <w:lang w:val="nl-NL"/>
        </w:rPr>
        <w:t>C open</w:t>
      </w:r>
      <w:r w:rsidRPr="00723741">
        <w:rPr>
          <w:rFonts w:ascii="Times New Roman" w:hAnsi="Times New Roman" w:cs="Times New Roman"/>
          <w:noProof/>
          <w:sz w:val="24"/>
          <w:szCs w:val="24"/>
          <w:lang w:val="nl-NL"/>
        </w:rPr>
        <w:t>. 2018;6(1):E77-E86. doi:10.9778/cmajo.20170106</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723741">
        <w:rPr>
          <w:rFonts w:ascii="Times New Roman" w:hAnsi="Times New Roman" w:cs="Times New Roman"/>
          <w:noProof/>
          <w:sz w:val="24"/>
          <w:szCs w:val="24"/>
          <w:lang w:val="nl-NL"/>
        </w:rPr>
        <w:t xml:space="preserve">28. </w:t>
      </w:r>
      <w:r w:rsidRPr="00723741">
        <w:rPr>
          <w:rFonts w:ascii="Times New Roman" w:hAnsi="Times New Roman" w:cs="Times New Roman"/>
          <w:noProof/>
          <w:sz w:val="24"/>
          <w:szCs w:val="24"/>
          <w:lang w:val="nl-NL"/>
        </w:rPr>
        <w:tab/>
        <w:t xml:space="preserve">Mittmann N, Stout NK, Lee P, et al. </w:t>
      </w:r>
      <w:r w:rsidRPr="00AD4EB6">
        <w:rPr>
          <w:rFonts w:ascii="Times New Roman" w:hAnsi="Times New Roman" w:cs="Times New Roman"/>
          <w:noProof/>
          <w:sz w:val="24"/>
          <w:szCs w:val="24"/>
        </w:rPr>
        <w:t xml:space="preserve">Total cost-effectiveness of mammography screening strategies. </w:t>
      </w:r>
      <w:r w:rsidRPr="00AD4EB6">
        <w:rPr>
          <w:rFonts w:ascii="Times New Roman" w:hAnsi="Times New Roman" w:cs="Times New Roman"/>
          <w:i/>
          <w:iCs/>
          <w:noProof/>
          <w:sz w:val="24"/>
          <w:szCs w:val="24"/>
        </w:rPr>
        <w:t>Heal reports</w:t>
      </w:r>
      <w:r w:rsidRPr="00AD4EB6">
        <w:rPr>
          <w:rFonts w:ascii="Times New Roman" w:hAnsi="Times New Roman" w:cs="Times New Roman"/>
          <w:noProof/>
          <w:sz w:val="24"/>
          <w:szCs w:val="24"/>
        </w:rPr>
        <w:t>. 2015;26(12):16-25.</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29. </w:t>
      </w:r>
      <w:r w:rsidRPr="00AD4EB6">
        <w:rPr>
          <w:rFonts w:ascii="Times New Roman" w:hAnsi="Times New Roman" w:cs="Times New Roman"/>
          <w:noProof/>
          <w:sz w:val="24"/>
          <w:szCs w:val="24"/>
        </w:rPr>
        <w:tab/>
        <w:t xml:space="preserve">Sanders GD, Neumann PJ, Basu A, et al. Recommendations for Conduct, Methodological Practices, and Reporting of Cost-effectiveness Analyses: Second Panel on Cost-Effectiveness in Health and Medicine. </w:t>
      </w:r>
      <w:r w:rsidRPr="00AD4EB6">
        <w:rPr>
          <w:rFonts w:ascii="Times New Roman" w:hAnsi="Times New Roman" w:cs="Times New Roman"/>
          <w:i/>
          <w:iCs/>
          <w:noProof/>
          <w:sz w:val="24"/>
          <w:szCs w:val="24"/>
        </w:rPr>
        <w:t>JAMA</w:t>
      </w:r>
      <w:r w:rsidRPr="00AD4EB6">
        <w:rPr>
          <w:rFonts w:ascii="Times New Roman" w:hAnsi="Times New Roman" w:cs="Times New Roman"/>
          <w:noProof/>
          <w:sz w:val="24"/>
          <w:szCs w:val="24"/>
        </w:rPr>
        <w:t>. 2016;316(10):1093-1103. doi:10.1001/jama.2016.12195</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30. </w:t>
      </w:r>
      <w:r w:rsidRPr="00AD4EB6">
        <w:rPr>
          <w:rFonts w:ascii="Times New Roman" w:hAnsi="Times New Roman" w:cs="Times New Roman"/>
          <w:noProof/>
          <w:sz w:val="24"/>
          <w:szCs w:val="24"/>
        </w:rPr>
        <w:tab/>
        <w:t xml:space="preserve">Gold MR, Muennig P. Measure-dependent variation in burden of disease estimates: implications for policy. </w:t>
      </w:r>
      <w:r w:rsidRPr="00AD4EB6">
        <w:rPr>
          <w:rFonts w:ascii="Times New Roman" w:hAnsi="Times New Roman" w:cs="Times New Roman"/>
          <w:i/>
          <w:iCs/>
          <w:noProof/>
          <w:sz w:val="24"/>
          <w:szCs w:val="24"/>
        </w:rPr>
        <w:t>Med Care</w:t>
      </w:r>
      <w:r w:rsidRPr="00AD4EB6">
        <w:rPr>
          <w:rFonts w:ascii="Times New Roman" w:hAnsi="Times New Roman" w:cs="Times New Roman"/>
          <w:noProof/>
          <w:sz w:val="24"/>
          <w:szCs w:val="24"/>
        </w:rPr>
        <w:t>. 2002;40(3):260-266. doi:10.1097/00005650-200203000-00009</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szCs w:val="24"/>
        </w:rPr>
      </w:pPr>
      <w:r w:rsidRPr="00AD4EB6">
        <w:rPr>
          <w:rFonts w:ascii="Times New Roman" w:hAnsi="Times New Roman" w:cs="Times New Roman"/>
          <w:noProof/>
          <w:sz w:val="24"/>
          <w:szCs w:val="24"/>
        </w:rPr>
        <w:t xml:space="preserve">31. </w:t>
      </w:r>
      <w:r w:rsidRPr="00AD4EB6">
        <w:rPr>
          <w:rFonts w:ascii="Times New Roman" w:hAnsi="Times New Roman" w:cs="Times New Roman"/>
          <w:noProof/>
          <w:sz w:val="24"/>
          <w:szCs w:val="24"/>
        </w:rPr>
        <w:tab/>
        <w:t xml:space="preserve">Schleinitz MD, DePalo D, Blume J, Stein M. Can differences in breast cancer utilities explain disparities in breast cancer  care? </w:t>
      </w:r>
      <w:r w:rsidRPr="00AD4EB6">
        <w:rPr>
          <w:rFonts w:ascii="Times New Roman" w:hAnsi="Times New Roman" w:cs="Times New Roman"/>
          <w:i/>
          <w:iCs/>
          <w:noProof/>
          <w:sz w:val="24"/>
          <w:szCs w:val="24"/>
        </w:rPr>
        <w:t>J Gen Intern Med</w:t>
      </w:r>
      <w:r w:rsidRPr="00AD4EB6">
        <w:rPr>
          <w:rFonts w:ascii="Times New Roman" w:hAnsi="Times New Roman" w:cs="Times New Roman"/>
          <w:noProof/>
          <w:sz w:val="24"/>
          <w:szCs w:val="24"/>
        </w:rPr>
        <w:t>. 2006;21(12):1253-1260. doi:10.1111/j.1525-1497.2006.00609.x</w:t>
      </w:r>
    </w:p>
    <w:p w:rsidR="00723741" w:rsidRPr="00AD4EB6" w:rsidRDefault="00723741" w:rsidP="00723741">
      <w:pPr>
        <w:widowControl w:val="0"/>
        <w:autoSpaceDE w:val="0"/>
        <w:autoSpaceDN w:val="0"/>
        <w:adjustRightInd w:val="0"/>
        <w:ind w:left="640" w:hanging="640"/>
        <w:rPr>
          <w:rFonts w:ascii="Times New Roman" w:hAnsi="Times New Roman" w:cs="Times New Roman"/>
          <w:noProof/>
          <w:sz w:val="24"/>
        </w:rPr>
      </w:pPr>
      <w:r w:rsidRPr="00AD4EB6">
        <w:rPr>
          <w:rFonts w:ascii="Times New Roman" w:hAnsi="Times New Roman" w:cs="Times New Roman"/>
          <w:noProof/>
          <w:sz w:val="24"/>
          <w:szCs w:val="24"/>
        </w:rPr>
        <w:t xml:space="preserve">32. </w:t>
      </w:r>
      <w:r w:rsidRPr="00AD4EB6">
        <w:rPr>
          <w:rFonts w:ascii="Times New Roman" w:hAnsi="Times New Roman" w:cs="Times New Roman"/>
          <w:noProof/>
          <w:sz w:val="24"/>
          <w:szCs w:val="24"/>
        </w:rPr>
        <w:tab/>
        <w:t xml:space="preserve">Sassi F. Calculating QALYs, comparing QALY and DALY calculations. </w:t>
      </w:r>
      <w:r w:rsidRPr="00AD4EB6">
        <w:rPr>
          <w:rFonts w:ascii="Times New Roman" w:hAnsi="Times New Roman" w:cs="Times New Roman"/>
          <w:i/>
          <w:iCs/>
          <w:noProof/>
          <w:sz w:val="24"/>
          <w:szCs w:val="24"/>
        </w:rPr>
        <w:t>Health Policy Plan</w:t>
      </w:r>
      <w:r w:rsidRPr="00AD4EB6">
        <w:rPr>
          <w:rFonts w:ascii="Times New Roman" w:hAnsi="Times New Roman" w:cs="Times New Roman"/>
          <w:noProof/>
          <w:sz w:val="24"/>
          <w:szCs w:val="24"/>
        </w:rPr>
        <w:t>. 2006;21(5):402-408. doi:10.1093/heapol/czl018</w:t>
      </w:r>
    </w:p>
    <w:p w:rsidR="00723741" w:rsidRDefault="00723741" w:rsidP="00723741">
      <w:pPr>
        <w:pStyle w:val="Heading1-Manuscript"/>
        <w:spacing w:line="276" w:lineRule="auto"/>
      </w:pPr>
      <w:r>
        <w:rPr>
          <w:lang w:val="nl-NL"/>
        </w:rPr>
        <w:fldChar w:fldCharType="end"/>
      </w:r>
      <w:r>
        <w:rPr>
          <w:lang w:val="en-GB"/>
        </w:rPr>
        <w:br w:type="page"/>
      </w:r>
      <w:r w:rsidRPr="00C232B4">
        <w:lastRenderedPageBreak/>
        <w:t>ABBREVIATIONS</w:t>
      </w:r>
    </w:p>
    <w:p w:rsidR="00723741" w:rsidRPr="00C232B4" w:rsidRDefault="00723741" w:rsidP="00723741">
      <w:pPr>
        <w:pStyle w:val="Heading1-Manuscript"/>
        <w:spacing w:line="276" w:lineRule="auto"/>
      </w:pPr>
    </w:p>
    <w:p w:rsidR="00723741" w:rsidRPr="00C232B4" w:rsidRDefault="00723741" w:rsidP="00723741">
      <w:pPr>
        <w:ind w:left="360"/>
        <w:jc w:val="both"/>
        <w:rPr>
          <w:rFonts w:ascii="Times New Roman" w:hAnsi="Times New Roman" w:cs="Times New Roman"/>
          <w:sz w:val="24"/>
        </w:rPr>
      </w:pPr>
      <w:proofErr w:type="spellStart"/>
      <w:r w:rsidRPr="00C232B4">
        <w:rPr>
          <w:rFonts w:ascii="Times New Roman" w:hAnsi="Times New Roman" w:cs="Times New Roman"/>
          <w:sz w:val="24"/>
        </w:rPr>
        <w:t>QoL</w:t>
      </w:r>
      <w:proofErr w:type="spellEnd"/>
      <w:r w:rsidRPr="00C232B4">
        <w:rPr>
          <w:rFonts w:ascii="Times New Roman" w:hAnsi="Times New Roman" w:cs="Times New Roman"/>
          <w:sz w:val="24"/>
        </w:rPr>
        <w:t xml:space="preserve"> – Quality of life </w:t>
      </w:r>
    </w:p>
    <w:p w:rsidR="00723741" w:rsidRPr="00C232B4" w:rsidRDefault="00723741" w:rsidP="00723741">
      <w:pPr>
        <w:ind w:left="360"/>
        <w:jc w:val="both"/>
        <w:rPr>
          <w:rFonts w:ascii="Times New Roman" w:hAnsi="Times New Roman" w:cs="Times New Roman"/>
          <w:sz w:val="24"/>
        </w:rPr>
      </w:pPr>
      <w:r w:rsidRPr="00C232B4">
        <w:rPr>
          <w:rFonts w:ascii="Times New Roman" w:hAnsi="Times New Roman" w:cs="Times New Roman"/>
          <w:sz w:val="24"/>
        </w:rPr>
        <w:t xml:space="preserve">DALYs – Disability-adjusted life years </w:t>
      </w:r>
    </w:p>
    <w:p w:rsidR="00723741" w:rsidRDefault="00723741" w:rsidP="00723741">
      <w:pPr>
        <w:ind w:left="360"/>
        <w:jc w:val="both"/>
        <w:rPr>
          <w:rFonts w:ascii="Times New Roman" w:hAnsi="Times New Roman" w:cs="Times New Roman"/>
          <w:sz w:val="24"/>
        </w:rPr>
      </w:pPr>
      <w:r w:rsidRPr="00C232B4">
        <w:rPr>
          <w:rFonts w:ascii="Times New Roman" w:hAnsi="Times New Roman" w:cs="Times New Roman"/>
          <w:sz w:val="24"/>
        </w:rPr>
        <w:t xml:space="preserve">QALYs – Quality-adjusted life years </w:t>
      </w:r>
    </w:p>
    <w:p w:rsidR="00723741" w:rsidRPr="00C232B4" w:rsidRDefault="00723741" w:rsidP="00723741">
      <w:pPr>
        <w:ind w:left="360"/>
        <w:jc w:val="both"/>
        <w:rPr>
          <w:rFonts w:ascii="Times New Roman" w:hAnsi="Times New Roman" w:cs="Times New Roman"/>
          <w:sz w:val="24"/>
        </w:rPr>
      </w:pPr>
      <w:r>
        <w:rPr>
          <w:rFonts w:ascii="Times New Roman" w:hAnsi="Times New Roman" w:cs="Times New Roman"/>
          <w:sz w:val="24"/>
        </w:rPr>
        <w:t>CEA - C</w:t>
      </w:r>
      <w:r w:rsidRPr="006F0394">
        <w:rPr>
          <w:rFonts w:ascii="Times New Roman" w:hAnsi="Times New Roman" w:cs="Times New Roman"/>
          <w:sz w:val="24"/>
        </w:rPr>
        <w:t xml:space="preserve">ost-effectiveness </w:t>
      </w:r>
      <w:r>
        <w:rPr>
          <w:rFonts w:ascii="Times New Roman" w:hAnsi="Times New Roman" w:cs="Times New Roman"/>
          <w:sz w:val="24"/>
        </w:rPr>
        <w:t>analyses</w:t>
      </w:r>
    </w:p>
    <w:p w:rsidR="00723741" w:rsidRPr="00C232B4" w:rsidRDefault="00723741" w:rsidP="00723741">
      <w:pPr>
        <w:ind w:left="360"/>
        <w:jc w:val="both"/>
        <w:rPr>
          <w:rFonts w:ascii="Times New Roman" w:hAnsi="Times New Roman" w:cs="Times New Roman"/>
          <w:sz w:val="24"/>
        </w:rPr>
      </w:pPr>
      <w:r w:rsidRPr="00C232B4">
        <w:rPr>
          <w:rFonts w:ascii="Times New Roman" w:hAnsi="Times New Roman" w:cs="Times New Roman"/>
          <w:sz w:val="24"/>
        </w:rPr>
        <w:t xml:space="preserve">YLLs – The sum of years of life lost from premature death </w:t>
      </w:r>
    </w:p>
    <w:p w:rsidR="00723741" w:rsidRPr="00C232B4" w:rsidRDefault="00723741" w:rsidP="00723741">
      <w:pPr>
        <w:ind w:left="360"/>
        <w:jc w:val="both"/>
        <w:rPr>
          <w:rFonts w:ascii="Times New Roman" w:hAnsi="Times New Roman" w:cs="Times New Roman"/>
          <w:sz w:val="24"/>
        </w:rPr>
      </w:pPr>
      <w:r w:rsidRPr="00C232B4">
        <w:rPr>
          <w:rFonts w:ascii="Times New Roman" w:hAnsi="Times New Roman" w:cs="Times New Roman"/>
          <w:sz w:val="24"/>
        </w:rPr>
        <w:t xml:space="preserve">YLDs – Years of life lived with disability </w:t>
      </w:r>
    </w:p>
    <w:p w:rsidR="00723741" w:rsidRPr="00C232B4" w:rsidRDefault="00723741" w:rsidP="00723741">
      <w:pPr>
        <w:ind w:left="360"/>
        <w:jc w:val="both"/>
        <w:rPr>
          <w:rFonts w:ascii="Times New Roman" w:hAnsi="Times New Roman" w:cs="Times New Roman"/>
          <w:sz w:val="24"/>
        </w:rPr>
      </w:pPr>
      <w:proofErr w:type="spellStart"/>
      <w:r w:rsidRPr="00C232B4">
        <w:rPr>
          <w:rFonts w:ascii="Times New Roman" w:hAnsi="Times New Roman" w:cs="Times New Roman"/>
          <w:sz w:val="24"/>
        </w:rPr>
        <w:t>HRQoL</w:t>
      </w:r>
      <w:proofErr w:type="spellEnd"/>
      <w:r w:rsidRPr="00C232B4">
        <w:rPr>
          <w:rFonts w:ascii="Times New Roman" w:hAnsi="Times New Roman" w:cs="Times New Roman"/>
          <w:sz w:val="24"/>
        </w:rPr>
        <w:t xml:space="preserve"> – The health-related quality of life </w:t>
      </w:r>
    </w:p>
    <w:p w:rsidR="00723741" w:rsidRPr="00C232B4" w:rsidRDefault="00723741" w:rsidP="00723741">
      <w:pPr>
        <w:ind w:left="360"/>
        <w:jc w:val="both"/>
        <w:rPr>
          <w:rFonts w:ascii="Times New Roman" w:hAnsi="Times New Roman" w:cs="Times New Roman"/>
          <w:sz w:val="24"/>
        </w:rPr>
      </w:pPr>
      <w:r w:rsidRPr="00C232B4">
        <w:rPr>
          <w:rFonts w:ascii="Times New Roman" w:hAnsi="Times New Roman" w:cs="Times New Roman"/>
          <w:sz w:val="24"/>
        </w:rPr>
        <w:t xml:space="preserve">ICERs – Incremental cost-effectiveness ratios </w:t>
      </w:r>
    </w:p>
    <w:p w:rsidR="00723741" w:rsidRDefault="00723741" w:rsidP="00723741">
      <w:pPr>
        <w:ind w:left="360"/>
        <w:jc w:val="both"/>
        <w:rPr>
          <w:rFonts w:ascii="Times New Roman" w:hAnsi="Times New Roman" w:cs="Times New Roman"/>
          <w:sz w:val="24"/>
        </w:rPr>
      </w:pPr>
      <w:r w:rsidRPr="00C232B4">
        <w:rPr>
          <w:rFonts w:ascii="Times New Roman" w:hAnsi="Times New Roman" w:cs="Times New Roman"/>
          <w:sz w:val="24"/>
        </w:rPr>
        <w:t xml:space="preserve">WHO – The World Health Organization </w:t>
      </w:r>
    </w:p>
    <w:p w:rsidR="00723741" w:rsidRDefault="00723741">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sz w:val="24"/>
        </w:rPr>
      </w:pPr>
      <w:r>
        <w:rPr>
          <w:rFonts w:ascii="Times New Roman" w:hAnsi="Times New Roman" w:cs="Times New Roman"/>
          <w:sz w:val="24"/>
        </w:rPr>
        <w:br w:type="page"/>
      </w:r>
    </w:p>
    <w:p w:rsidR="00723741" w:rsidRDefault="001F2665" w:rsidP="00723741">
      <w:pPr>
        <w:ind w:left="360"/>
        <w:jc w:val="both"/>
        <w:rPr>
          <w:rFonts w:ascii="Times New Roman" w:hAnsi="Times New Roman" w:cs="Times New Roman"/>
          <w:sz w:val="24"/>
        </w:rPr>
      </w:pPr>
      <w:r>
        <w:rPr>
          <w:noProof/>
        </w:rPr>
        <w:lastRenderedPageBreak/>
        <w:drawing>
          <wp:inline distT="0" distB="0" distL="0" distR="0" wp14:anchorId="7C4D9600" wp14:editId="47807F8D">
            <wp:extent cx="5731510" cy="612330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6123305"/>
                    </a:xfrm>
                    <a:prstGeom prst="rect">
                      <a:avLst/>
                    </a:prstGeom>
                  </pic:spPr>
                </pic:pic>
              </a:graphicData>
            </a:graphic>
          </wp:inline>
        </w:drawing>
      </w:r>
    </w:p>
    <w:p w:rsidR="001F2665" w:rsidRPr="002F2FBD" w:rsidRDefault="001F2665" w:rsidP="001F2665">
      <w:pPr>
        <w:keepNext/>
        <w:spacing w:line="240" w:lineRule="auto"/>
        <w:jc w:val="both"/>
        <w:rPr>
          <w:rFonts w:ascii="Times New Roman" w:hAnsi="Times New Roman" w:cs="Times New Roman"/>
          <w:i/>
          <w:iCs/>
          <w:color w:val="44546A"/>
          <w:sz w:val="18"/>
          <w:szCs w:val="18"/>
        </w:rPr>
      </w:pPr>
      <w:r w:rsidRPr="002F2FBD">
        <w:rPr>
          <w:rFonts w:ascii="Times New Roman" w:hAnsi="Times New Roman" w:cs="Times New Roman"/>
          <w:i/>
          <w:iCs/>
          <w:color w:val="44546A"/>
          <w:sz w:val="18"/>
          <w:szCs w:val="18"/>
        </w:rPr>
        <w:t xml:space="preserve">Figure </w:t>
      </w:r>
      <w:r w:rsidRPr="002F2FBD">
        <w:rPr>
          <w:rFonts w:ascii="Times New Roman" w:hAnsi="Times New Roman" w:cs="Times New Roman"/>
          <w:i/>
          <w:iCs/>
          <w:noProof/>
          <w:color w:val="44546A"/>
          <w:sz w:val="18"/>
          <w:szCs w:val="18"/>
        </w:rPr>
        <w:fldChar w:fldCharType="begin"/>
      </w:r>
      <w:r w:rsidRPr="002F2FBD">
        <w:rPr>
          <w:rFonts w:ascii="Times New Roman" w:hAnsi="Times New Roman" w:cs="Times New Roman"/>
          <w:i/>
          <w:iCs/>
          <w:noProof/>
          <w:color w:val="44546A"/>
          <w:sz w:val="18"/>
          <w:szCs w:val="18"/>
        </w:rPr>
        <w:instrText xml:space="preserve"> SEQ Figure \* ARABIC </w:instrText>
      </w:r>
      <w:r w:rsidRPr="002F2FBD">
        <w:rPr>
          <w:rFonts w:ascii="Times New Roman" w:hAnsi="Times New Roman" w:cs="Times New Roman"/>
          <w:i/>
          <w:iCs/>
          <w:noProof/>
          <w:color w:val="44546A"/>
          <w:sz w:val="18"/>
          <w:szCs w:val="18"/>
        </w:rPr>
        <w:fldChar w:fldCharType="separate"/>
      </w:r>
      <w:r w:rsidRPr="002F2FBD">
        <w:rPr>
          <w:rFonts w:ascii="Times New Roman" w:hAnsi="Times New Roman" w:cs="Times New Roman"/>
          <w:i/>
          <w:iCs/>
          <w:noProof/>
          <w:color w:val="44546A"/>
          <w:sz w:val="18"/>
          <w:szCs w:val="18"/>
        </w:rPr>
        <w:t>1</w:t>
      </w:r>
      <w:r w:rsidRPr="002F2FBD">
        <w:rPr>
          <w:rFonts w:ascii="Times New Roman" w:hAnsi="Times New Roman" w:cs="Times New Roman"/>
          <w:i/>
          <w:iCs/>
          <w:noProof/>
          <w:color w:val="44546A"/>
          <w:sz w:val="18"/>
          <w:szCs w:val="18"/>
        </w:rPr>
        <w:fldChar w:fldCharType="end"/>
      </w:r>
      <w:r w:rsidRPr="002F2FBD">
        <w:rPr>
          <w:rFonts w:ascii="Times New Roman" w:hAnsi="Times New Roman" w:cs="Times New Roman"/>
          <w:i/>
          <w:iCs/>
          <w:color w:val="44546A"/>
          <w:sz w:val="18"/>
          <w:szCs w:val="18"/>
        </w:rPr>
        <w:t xml:space="preserve">. DALYs and QALYs. Each box represents the lifespan from birth to death. A person can live the whole life in full health (ideal life-expectancy) (A). When the person is diagnosed with cancer, </w:t>
      </w:r>
      <w:proofErr w:type="spellStart"/>
      <w:r w:rsidRPr="002F2FBD">
        <w:rPr>
          <w:rFonts w:ascii="Times New Roman" w:hAnsi="Times New Roman" w:cs="Times New Roman"/>
          <w:i/>
          <w:iCs/>
          <w:color w:val="44546A"/>
          <w:sz w:val="18"/>
          <w:szCs w:val="18"/>
        </w:rPr>
        <w:t>QoL</w:t>
      </w:r>
      <w:proofErr w:type="spellEnd"/>
      <w:r w:rsidRPr="002F2FBD">
        <w:rPr>
          <w:rFonts w:ascii="Times New Roman" w:hAnsi="Times New Roman" w:cs="Times New Roman"/>
          <w:i/>
          <w:iCs/>
          <w:color w:val="44546A"/>
          <w:sz w:val="18"/>
          <w:szCs w:val="18"/>
        </w:rPr>
        <w:t xml:space="preserve"> is reduced. The effects on </w:t>
      </w:r>
      <w:proofErr w:type="spellStart"/>
      <w:r w:rsidRPr="002F2FBD">
        <w:rPr>
          <w:rFonts w:ascii="Times New Roman" w:hAnsi="Times New Roman" w:cs="Times New Roman"/>
          <w:i/>
          <w:iCs/>
          <w:color w:val="44546A"/>
          <w:sz w:val="18"/>
          <w:szCs w:val="18"/>
        </w:rPr>
        <w:t>QoL</w:t>
      </w:r>
      <w:proofErr w:type="spellEnd"/>
      <w:r w:rsidRPr="002F2FBD">
        <w:rPr>
          <w:rFonts w:ascii="Times New Roman" w:hAnsi="Times New Roman" w:cs="Times New Roman"/>
          <w:i/>
          <w:iCs/>
          <w:color w:val="44546A"/>
          <w:sz w:val="18"/>
          <w:szCs w:val="18"/>
        </w:rPr>
        <w:t xml:space="preserve"> can be measured on two ways. Firstly, we can estimate how long a person lived with disability due to disease (YLDs) and how many years the person lost due to disease (YLLs) (B). YLLs are calculated as a number of deaths and life expectancy at that age. To calculate YLDs, prevalence of a given health state is multiplied by a DW. DW are anchored between 0 and 1, where 0 represents full health and 1 is equivalent to death. The sum of these two measures represents DALY for a specific person and specific disease. One DALY can be thought of as one year of “healthy” life lost. Secondly, we can estimate the loss of </w:t>
      </w:r>
      <w:proofErr w:type="spellStart"/>
      <w:r w:rsidRPr="002F2FBD">
        <w:rPr>
          <w:rFonts w:ascii="Times New Roman" w:hAnsi="Times New Roman" w:cs="Times New Roman"/>
          <w:i/>
          <w:iCs/>
          <w:color w:val="44546A"/>
          <w:sz w:val="18"/>
          <w:szCs w:val="18"/>
        </w:rPr>
        <w:t>QoL</w:t>
      </w:r>
      <w:proofErr w:type="spellEnd"/>
      <w:r w:rsidRPr="002F2FBD">
        <w:rPr>
          <w:rFonts w:ascii="Times New Roman" w:hAnsi="Times New Roman" w:cs="Times New Roman"/>
          <w:i/>
          <w:iCs/>
          <w:color w:val="44546A"/>
          <w:sz w:val="18"/>
          <w:szCs w:val="18"/>
        </w:rPr>
        <w:t xml:space="preserve"> during life years lived with disease (C). QALYs are calculated as a time spent in specific health state with </w:t>
      </w:r>
      <w:proofErr w:type="spellStart"/>
      <w:r w:rsidRPr="002F2FBD">
        <w:rPr>
          <w:rFonts w:ascii="Times New Roman" w:hAnsi="Times New Roman" w:cs="Times New Roman"/>
          <w:i/>
          <w:iCs/>
          <w:color w:val="44546A"/>
          <w:sz w:val="18"/>
          <w:szCs w:val="18"/>
        </w:rPr>
        <w:t>HRQoL</w:t>
      </w:r>
      <w:proofErr w:type="spellEnd"/>
      <w:r w:rsidRPr="002F2FBD">
        <w:rPr>
          <w:rFonts w:ascii="Times New Roman" w:hAnsi="Times New Roman" w:cs="Times New Roman"/>
          <w:i/>
          <w:iCs/>
          <w:color w:val="44546A"/>
          <w:sz w:val="18"/>
          <w:szCs w:val="18"/>
        </w:rPr>
        <w:t xml:space="preserve"> utility for that health state. One QALY is equal to 1 year of life in perfect health. As it is shown (B and C), disability weights and disutility are two parts of the same equation and could result in the same outcomes. However, disability weights and disutility are currently measured very differently and therefore </w:t>
      </w:r>
      <w:r>
        <w:rPr>
          <w:rFonts w:ascii="Times New Roman" w:hAnsi="Times New Roman" w:cs="Times New Roman"/>
          <w:i/>
          <w:iCs/>
          <w:color w:val="44546A"/>
          <w:sz w:val="18"/>
          <w:szCs w:val="18"/>
        </w:rPr>
        <w:t xml:space="preserve">are </w:t>
      </w:r>
      <w:r w:rsidRPr="002F2FBD">
        <w:rPr>
          <w:rFonts w:ascii="Times New Roman" w:hAnsi="Times New Roman" w:cs="Times New Roman"/>
          <w:i/>
          <w:iCs/>
          <w:color w:val="44546A"/>
          <w:sz w:val="18"/>
          <w:szCs w:val="18"/>
        </w:rPr>
        <w:t>not necessarily complement</w:t>
      </w:r>
      <w:r>
        <w:rPr>
          <w:rFonts w:ascii="Times New Roman" w:hAnsi="Times New Roman" w:cs="Times New Roman"/>
          <w:i/>
          <w:iCs/>
          <w:color w:val="44546A"/>
          <w:sz w:val="18"/>
          <w:szCs w:val="18"/>
        </w:rPr>
        <w:t>ary</w:t>
      </w:r>
      <w:r w:rsidRPr="002F2FBD">
        <w:rPr>
          <w:rFonts w:ascii="Times New Roman" w:hAnsi="Times New Roman" w:cs="Times New Roman"/>
          <w:i/>
          <w:iCs/>
          <w:color w:val="44546A"/>
          <w:sz w:val="18"/>
          <w:szCs w:val="18"/>
        </w:rPr>
        <w:t>.</w:t>
      </w:r>
    </w:p>
    <w:p w:rsidR="001F2665" w:rsidRDefault="001F2665" w:rsidP="00723741">
      <w:pPr>
        <w:ind w:left="360"/>
        <w:jc w:val="both"/>
        <w:rPr>
          <w:rFonts w:ascii="Times New Roman" w:hAnsi="Times New Roman" w:cs="Times New Roman"/>
          <w:sz w:val="24"/>
        </w:rPr>
      </w:pPr>
    </w:p>
    <w:p w:rsidR="001F2665" w:rsidRDefault="001F2665">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sz w:val="24"/>
        </w:rPr>
      </w:pPr>
      <w:r>
        <w:rPr>
          <w:rFonts w:ascii="Times New Roman" w:hAnsi="Times New Roman" w:cs="Times New Roman"/>
          <w:sz w:val="24"/>
        </w:rPr>
        <w:br w:type="page"/>
      </w:r>
    </w:p>
    <w:p w:rsidR="001F2665" w:rsidRDefault="001F2665" w:rsidP="00723741">
      <w:pPr>
        <w:ind w:left="360"/>
        <w:jc w:val="both"/>
        <w:rPr>
          <w:rFonts w:ascii="Times New Roman" w:hAnsi="Times New Roman" w:cs="Times New Roman"/>
          <w:sz w:val="24"/>
        </w:rPr>
      </w:pPr>
      <w:r>
        <w:rPr>
          <w:noProof/>
        </w:rPr>
        <w:lastRenderedPageBreak/>
        <w:drawing>
          <wp:inline distT="0" distB="0" distL="0" distR="0" wp14:anchorId="3A23F71E" wp14:editId="10CC1204">
            <wp:extent cx="5731510" cy="4282214"/>
            <wp:effectExtent l="0" t="0" r="254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731510" cy="4282214"/>
                    </a:xfrm>
                    <a:prstGeom prst="rect">
                      <a:avLst/>
                    </a:prstGeom>
                  </pic:spPr>
                </pic:pic>
              </a:graphicData>
            </a:graphic>
          </wp:inline>
        </w:drawing>
      </w:r>
    </w:p>
    <w:p w:rsidR="001F2665" w:rsidRDefault="001F2665" w:rsidP="001F2665">
      <w:pPr>
        <w:pStyle w:val="Caption"/>
        <w:jc w:val="both"/>
        <w:rPr>
          <w:rFonts w:ascii="Times New Roman" w:hAnsi="Times New Roman" w:cs="Times New Roman"/>
        </w:rPr>
      </w:pPr>
      <w:r w:rsidRPr="00BF3124">
        <w:rPr>
          <w:rFonts w:ascii="Times New Roman" w:hAnsi="Times New Roman" w:cs="Times New Roman"/>
        </w:rPr>
        <w:t>Figure 2. Efficiency frontier of screening strategies. Each screening strategy is represented by a point. Both DALYs averted or QALYs gained and costs for each strategy are relative to a situation without screening and are presented per 1,000 women. Strategies consist of annual (A), biennial (B)</w:t>
      </w:r>
      <w:r>
        <w:rPr>
          <w:rFonts w:ascii="Times New Roman" w:hAnsi="Times New Roman" w:cs="Times New Roman"/>
        </w:rPr>
        <w:t>, triennial (T) screening</w:t>
      </w:r>
      <w:r w:rsidRPr="00BF3124">
        <w:rPr>
          <w:rFonts w:ascii="Times New Roman" w:hAnsi="Times New Roman" w:cs="Times New Roman"/>
        </w:rPr>
        <w:t xml:space="preserve"> </w:t>
      </w:r>
      <w:r>
        <w:rPr>
          <w:rFonts w:ascii="Times New Roman" w:hAnsi="Times New Roman" w:cs="Times New Roman"/>
        </w:rPr>
        <w:t>and</w:t>
      </w:r>
      <w:r w:rsidRPr="00BF3124">
        <w:rPr>
          <w:rFonts w:ascii="Times New Roman" w:hAnsi="Times New Roman" w:cs="Times New Roman"/>
        </w:rPr>
        <w:t xml:space="preserve"> </w:t>
      </w:r>
      <w:r>
        <w:rPr>
          <w:rFonts w:ascii="Times New Roman" w:hAnsi="Times New Roman" w:cs="Times New Roman"/>
        </w:rPr>
        <w:t xml:space="preserve">combination of annual and biennial </w:t>
      </w:r>
      <w:r w:rsidRPr="00BF3124">
        <w:rPr>
          <w:rFonts w:ascii="Times New Roman" w:hAnsi="Times New Roman" w:cs="Times New Roman"/>
        </w:rPr>
        <w:t xml:space="preserve">(A+B). </w:t>
      </w:r>
      <w:bookmarkStart w:id="5" w:name="_gjdgxs" w:colFirst="0" w:colLast="0"/>
      <w:bookmarkEnd w:id="5"/>
      <w:r w:rsidRPr="00BF3124">
        <w:rPr>
          <w:rFonts w:ascii="Times New Roman" w:hAnsi="Times New Roman" w:cs="Times New Roman"/>
        </w:rPr>
        <w:t>Strategies on the green (QALY gained) and blue line (DALY averted) represent cost-effective strategies. Dominated strategies are represented by dots only.</w:t>
      </w:r>
    </w:p>
    <w:p w:rsidR="001F2665" w:rsidRDefault="001F2665">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sz w:val="24"/>
        </w:rPr>
      </w:pPr>
      <w:r>
        <w:rPr>
          <w:rFonts w:ascii="Times New Roman" w:hAnsi="Times New Roman" w:cs="Times New Roman"/>
          <w:sz w:val="24"/>
        </w:rPr>
        <w:br w:type="page"/>
      </w:r>
    </w:p>
    <w:p w:rsidR="001F2665" w:rsidRPr="003D1C57" w:rsidRDefault="001F2665" w:rsidP="001F2665">
      <w:pPr>
        <w:keepNext/>
        <w:spacing w:line="240" w:lineRule="auto"/>
        <w:rPr>
          <w:rFonts w:ascii="Times New Roman" w:hAnsi="Times New Roman" w:cs="Times New Roman"/>
          <w:i/>
          <w:iCs/>
          <w:color w:val="44546A"/>
          <w:sz w:val="18"/>
          <w:szCs w:val="18"/>
        </w:rPr>
      </w:pPr>
      <w:r w:rsidRPr="003D1C57">
        <w:rPr>
          <w:rFonts w:ascii="Times New Roman" w:hAnsi="Times New Roman" w:cs="Times New Roman"/>
          <w:i/>
          <w:iCs/>
          <w:color w:val="44546A"/>
          <w:sz w:val="18"/>
          <w:szCs w:val="18"/>
        </w:rPr>
        <w:lastRenderedPageBreak/>
        <w:t xml:space="preserve">Table 1. Disability weights and health-related quality of life utilities and </w:t>
      </w:r>
      <w:proofErr w:type="spellStart"/>
      <w:r w:rsidRPr="003D1C57">
        <w:rPr>
          <w:rFonts w:ascii="Times New Roman" w:hAnsi="Times New Roman" w:cs="Times New Roman"/>
          <w:i/>
          <w:iCs/>
          <w:color w:val="44546A"/>
          <w:sz w:val="18"/>
          <w:szCs w:val="18"/>
        </w:rPr>
        <w:t>disutilities</w:t>
      </w:r>
      <w:proofErr w:type="spellEnd"/>
      <w:r w:rsidRPr="003D1C57">
        <w:rPr>
          <w:rFonts w:ascii="Times New Roman" w:hAnsi="Times New Roman" w:cs="Times New Roman"/>
          <w:i/>
          <w:iCs/>
          <w:color w:val="44546A"/>
          <w:sz w:val="18"/>
          <w:szCs w:val="18"/>
        </w:rPr>
        <w:t xml:space="preserve"> for breast cancer related health states</w:t>
      </w:r>
    </w:p>
    <w:tbl>
      <w:tblPr>
        <w:tblStyle w:val="PlainTable21"/>
        <w:tblW w:w="5000" w:type="pct"/>
        <w:tblLook w:val="04A0" w:firstRow="1" w:lastRow="0" w:firstColumn="1" w:lastColumn="0" w:noHBand="0" w:noVBand="1"/>
      </w:tblPr>
      <w:tblGrid>
        <w:gridCol w:w="4041"/>
        <w:gridCol w:w="1451"/>
        <w:gridCol w:w="1154"/>
        <w:gridCol w:w="2380"/>
      </w:tblGrid>
      <w:tr w:rsidR="001F2665" w:rsidRPr="008630B0" w:rsidTr="00323C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4" w:type="pct"/>
            <w:tcBorders>
              <w:bottom w:val="single" w:sz="4" w:space="0" w:color="auto"/>
            </w:tcBorders>
            <w:vAlign w:val="center"/>
          </w:tcPr>
          <w:p w:rsidR="001F2665" w:rsidRPr="008630B0" w:rsidRDefault="001F2665" w:rsidP="001F2665">
            <w:pPr>
              <w:spacing w:after="0"/>
              <w:jc w:val="center"/>
              <w:rPr>
                <w:rFonts w:ascii="Times New Roman" w:hAnsi="Times New Roman" w:cs="Times New Roman"/>
                <w:szCs w:val="20"/>
              </w:rPr>
            </w:pPr>
            <w:bookmarkStart w:id="6" w:name="_Hlk505336287"/>
            <w:r w:rsidRPr="008630B0">
              <w:rPr>
                <w:rFonts w:ascii="Times New Roman" w:eastAsia="Times New Roman" w:hAnsi="Times New Roman" w:cs="Times New Roman"/>
                <w:szCs w:val="20"/>
              </w:rPr>
              <w:t>Health State</w:t>
            </w:r>
          </w:p>
        </w:tc>
        <w:tc>
          <w:tcPr>
            <w:tcW w:w="1392" w:type="pct"/>
            <w:gridSpan w:val="2"/>
            <w:tcBorders>
              <w:bottom w:val="single" w:sz="4" w:space="0" w:color="auto"/>
            </w:tcBorders>
            <w:vAlign w:val="center"/>
          </w:tcPr>
          <w:p w:rsidR="001F2665" w:rsidRPr="008630B0" w:rsidRDefault="001F2665" w:rsidP="001F2665">
            <w:pPr>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8630B0">
              <w:rPr>
                <w:rFonts w:ascii="Times New Roman" w:hAnsi="Times New Roman" w:cs="Times New Roman"/>
                <w:szCs w:val="20"/>
              </w:rPr>
              <w:t>Disability weight (95% CI)</w:t>
            </w:r>
          </w:p>
        </w:tc>
        <w:tc>
          <w:tcPr>
            <w:tcW w:w="1344" w:type="pct"/>
            <w:vAlign w:val="center"/>
          </w:tcPr>
          <w:p w:rsidR="001F2665" w:rsidRPr="008630B0" w:rsidRDefault="001F2665" w:rsidP="001F2665">
            <w:pPr>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8630B0">
              <w:rPr>
                <w:rFonts w:ascii="Times New Roman" w:hAnsi="Times New Roman" w:cs="Times New Roman"/>
                <w:szCs w:val="20"/>
              </w:rPr>
              <w:t>Reference</w:t>
            </w:r>
          </w:p>
        </w:tc>
      </w:tr>
      <w:tr w:rsidR="001F2665" w:rsidRPr="008630B0" w:rsidTr="00323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4" w:type="pct"/>
            <w:tcBorders>
              <w:top w:val="single" w:sz="4" w:space="0" w:color="auto"/>
              <w:bottom w:val="nil"/>
            </w:tcBorders>
            <w:vAlign w:val="center"/>
          </w:tcPr>
          <w:p w:rsidR="001F2665" w:rsidRPr="008630B0" w:rsidRDefault="001F2665" w:rsidP="001F2665">
            <w:pPr>
              <w:spacing w:after="0"/>
              <w:rPr>
                <w:rFonts w:ascii="Times New Roman" w:hAnsi="Times New Roman" w:cs="Times New Roman"/>
                <w:b w:val="0"/>
                <w:szCs w:val="20"/>
              </w:rPr>
            </w:pPr>
            <w:r w:rsidRPr="008630B0">
              <w:rPr>
                <w:rFonts w:ascii="Times New Roman" w:hAnsi="Times New Roman" w:cs="Times New Roman"/>
                <w:b w:val="0"/>
                <w:szCs w:val="20"/>
              </w:rPr>
              <w:t>Diagnosis and primary therapy</w:t>
            </w:r>
          </w:p>
        </w:tc>
        <w:tc>
          <w:tcPr>
            <w:tcW w:w="1392" w:type="pct"/>
            <w:gridSpan w:val="2"/>
            <w:tcBorders>
              <w:top w:val="single" w:sz="4" w:space="0" w:color="auto"/>
              <w:bottom w:val="nil"/>
            </w:tcBorders>
            <w:vAlign w:val="center"/>
          </w:tcPr>
          <w:p w:rsidR="001F2665" w:rsidRPr="008630B0"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8630B0">
              <w:rPr>
                <w:rFonts w:ascii="Times New Roman" w:hAnsi="Times New Roman" w:cs="Times New Roman"/>
                <w:szCs w:val="20"/>
              </w:rPr>
              <w:t>0.288 (0.193-0.399)</w:t>
            </w:r>
          </w:p>
        </w:tc>
        <w:tc>
          <w:tcPr>
            <w:tcW w:w="1344" w:type="pct"/>
            <w:vMerge w:val="restart"/>
            <w:vAlign w:val="center"/>
          </w:tcPr>
          <w:p w:rsidR="001F2665" w:rsidRPr="008630B0" w:rsidRDefault="001F2665" w:rsidP="001F2665">
            <w:pPr>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8630B0">
              <w:rPr>
                <w:rFonts w:ascii="Times New Roman" w:hAnsi="Times New Roman" w:cs="Times New Roman"/>
                <w:szCs w:val="20"/>
              </w:rPr>
              <w:t xml:space="preserve">Global Burden Disease Study 2015 </w:t>
            </w:r>
            <w:r>
              <w:rPr>
                <w:rFonts w:ascii="Times New Roman" w:eastAsia="Times New Roman" w:hAnsi="Times New Roman" w:cs="Times New Roman"/>
                <w:szCs w:val="20"/>
              </w:rPr>
              <w:t>[15</w:t>
            </w:r>
            <w:r w:rsidRPr="008630B0">
              <w:rPr>
                <w:rFonts w:ascii="Times New Roman" w:eastAsia="Times New Roman" w:hAnsi="Times New Roman" w:cs="Times New Roman"/>
                <w:szCs w:val="20"/>
              </w:rPr>
              <w:t>]</w:t>
            </w:r>
          </w:p>
        </w:tc>
      </w:tr>
      <w:tr w:rsidR="001F2665" w:rsidRPr="008630B0" w:rsidTr="00323CE7">
        <w:tc>
          <w:tcPr>
            <w:cnfStyle w:val="001000000000" w:firstRow="0" w:lastRow="0" w:firstColumn="1" w:lastColumn="0" w:oddVBand="0" w:evenVBand="0" w:oddHBand="0" w:evenHBand="0" w:firstRowFirstColumn="0" w:firstRowLastColumn="0" w:lastRowFirstColumn="0" w:lastRowLastColumn="0"/>
            <w:tcW w:w="2264" w:type="pct"/>
            <w:tcBorders>
              <w:top w:val="nil"/>
              <w:bottom w:val="nil"/>
            </w:tcBorders>
            <w:vAlign w:val="center"/>
          </w:tcPr>
          <w:p w:rsidR="001F2665" w:rsidRPr="008630B0" w:rsidRDefault="001F2665" w:rsidP="001F2665">
            <w:pPr>
              <w:spacing w:after="0"/>
              <w:rPr>
                <w:rFonts w:ascii="Times New Roman" w:hAnsi="Times New Roman" w:cs="Times New Roman"/>
                <w:b w:val="0"/>
                <w:szCs w:val="20"/>
              </w:rPr>
            </w:pPr>
            <w:r w:rsidRPr="008630B0">
              <w:rPr>
                <w:rFonts w:ascii="Times New Roman" w:hAnsi="Times New Roman" w:cs="Times New Roman"/>
                <w:b w:val="0"/>
                <w:szCs w:val="20"/>
              </w:rPr>
              <w:t>Controlled phase of breast cancer</w:t>
            </w:r>
          </w:p>
        </w:tc>
        <w:tc>
          <w:tcPr>
            <w:tcW w:w="1392" w:type="pct"/>
            <w:gridSpan w:val="2"/>
            <w:tcBorders>
              <w:top w:val="nil"/>
              <w:bottom w:val="nil"/>
            </w:tcBorders>
            <w:vAlign w:val="center"/>
          </w:tcPr>
          <w:p w:rsidR="001F2665" w:rsidRPr="008630B0"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Cs w:val="20"/>
              </w:rPr>
            </w:pPr>
            <w:r w:rsidRPr="008630B0">
              <w:rPr>
                <w:rFonts w:ascii="Times New Roman" w:hAnsi="Times New Roman" w:cs="Times New Roman"/>
                <w:bCs/>
                <w:szCs w:val="20"/>
              </w:rPr>
              <w:t>0.049 (0.031-0.072)</w:t>
            </w:r>
          </w:p>
        </w:tc>
        <w:tc>
          <w:tcPr>
            <w:tcW w:w="1344" w:type="pct"/>
            <w:vMerge/>
            <w:vAlign w:val="center"/>
          </w:tcPr>
          <w:p w:rsidR="001F2665" w:rsidRPr="008630B0"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Cs w:val="20"/>
              </w:rPr>
            </w:pPr>
          </w:p>
        </w:tc>
      </w:tr>
      <w:tr w:rsidR="001F2665" w:rsidRPr="008630B0" w:rsidTr="00323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4" w:type="pct"/>
            <w:tcBorders>
              <w:top w:val="nil"/>
              <w:bottom w:val="nil"/>
            </w:tcBorders>
            <w:vAlign w:val="center"/>
          </w:tcPr>
          <w:p w:rsidR="001F2665" w:rsidRPr="008630B0" w:rsidRDefault="001F2665" w:rsidP="001F2665">
            <w:pPr>
              <w:spacing w:after="0"/>
              <w:rPr>
                <w:rFonts w:ascii="Times New Roman" w:hAnsi="Times New Roman" w:cs="Times New Roman"/>
                <w:b w:val="0"/>
                <w:szCs w:val="20"/>
              </w:rPr>
            </w:pPr>
            <w:r w:rsidRPr="008630B0">
              <w:rPr>
                <w:rFonts w:ascii="Times New Roman" w:hAnsi="Times New Roman" w:cs="Times New Roman"/>
                <w:b w:val="0"/>
                <w:szCs w:val="20"/>
              </w:rPr>
              <w:t>Metastatic phase of breast cancer</w:t>
            </w:r>
          </w:p>
        </w:tc>
        <w:tc>
          <w:tcPr>
            <w:tcW w:w="1392" w:type="pct"/>
            <w:gridSpan w:val="2"/>
            <w:tcBorders>
              <w:top w:val="nil"/>
              <w:bottom w:val="nil"/>
            </w:tcBorders>
            <w:vAlign w:val="center"/>
          </w:tcPr>
          <w:p w:rsidR="001F2665" w:rsidRPr="008630B0"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8630B0">
              <w:rPr>
                <w:rFonts w:ascii="Times New Roman" w:hAnsi="Times New Roman" w:cs="Times New Roman"/>
                <w:szCs w:val="20"/>
              </w:rPr>
              <w:t>0.451 (0.307-0.600)</w:t>
            </w:r>
          </w:p>
        </w:tc>
        <w:tc>
          <w:tcPr>
            <w:tcW w:w="1344" w:type="pct"/>
            <w:vMerge/>
            <w:vAlign w:val="center"/>
          </w:tcPr>
          <w:p w:rsidR="001F2665" w:rsidRPr="008630B0"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p>
        </w:tc>
      </w:tr>
      <w:tr w:rsidR="001F2665" w:rsidRPr="008630B0" w:rsidTr="00323CE7">
        <w:tc>
          <w:tcPr>
            <w:cnfStyle w:val="001000000000" w:firstRow="0" w:lastRow="0" w:firstColumn="1" w:lastColumn="0" w:oddVBand="0" w:evenVBand="0" w:oddHBand="0" w:evenHBand="0" w:firstRowFirstColumn="0" w:firstRowLastColumn="0" w:lastRowFirstColumn="0" w:lastRowLastColumn="0"/>
            <w:tcW w:w="2264" w:type="pct"/>
            <w:tcBorders>
              <w:top w:val="nil"/>
              <w:bottom w:val="nil"/>
            </w:tcBorders>
            <w:vAlign w:val="center"/>
          </w:tcPr>
          <w:p w:rsidR="001F2665" w:rsidRPr="008630B0" w:rsidRDefault="001F2665" w:rsidP="001F2665">
            <w:pPr>
              <w:spacing w:after="0"/>
              <w:rPr>
                <w:rFonts w:ascii="Times New Roman" w:hAnsi="Times New Roman" w:cs="Times New Roman"/>
                <w:b w:val="0"/>
                <w:szCs w:val="20"/>
              </w:rPr>
            </w:pPr>
            <w:r w:rsidRPr="008630B0">
              <w:rPr>
                <w:rFonts w:ascii="Times New Roman" w:hAnsi="Times New Roman" w:cs="Times New Roman"/>
                <w:b w:val="0"/>
                <w:szCs w:val="20"/>
              </w:rPr>
              <w:t>Terminal phase of breast cancer</w:t>
            </w:r>
          </w:p>
        </w:tc>
        <w:tc>
          <w:tcPr>
            <w:tcW w:w="1392" w:type="pct"/>
            <w:gridSpan w:val="2"/>
            <w:tcBorders>
              <w:top w:val="nil"/>
              <w:bottom w:val="nil"/>
            </w:tcBorders>
            <w:vAlign w:val="center"/>
          </w:tcPr>
          <w:p w:rsidR="001F2665" w:rsidRPr="008630B0"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8630B0">
              <w:rPr>
                <w:rFonts w:ascii="Times New Roman" w:hAnsi="Times New Roman" w:cs="Times New Roman"/>
                <w:szCs w:val="20"/>
              </w:rPr>
              <w:t>0.540 (0.377-0.687)</w:t>
            </w:r>
          </w:p>
        </w:tc>
        <w:tc>
          <w:tcPr>
            <w:tcW w:w="1344" w:type="pct"/>
            <w:vMerge/>
            <w:vAlign w:val="center"/>
          </w:tcPr>
          <w:p w:rsidR="001F2665" w:rsidRPr="008630B0"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
        </w:tc>
      </w:tr>
      <w:tr w:rsidR="001F2665" w:rsidRPr="008630B0" w:rsidTr="00323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4" w:type="pct"/>
            <w:tcBorders>
              <w:top w:val="nil"/>
              <w:bottom w:val="single" w:sz="4" w:space="0" w:color="auto"/>
            </w:tcBorders>
            <w:vAlign w:val="center"/>
          </w:tcPr>
          <w:p w:rsidR="001F2665" w:rsidRPr="008630B0" w:rsidRDefault="001F2665" w:rsidP="001F2665">
            <w:pPr>
              <w:spacing w:after="0"/>
              <w:rPr>
                <w:rFonts w:ascii="Times New Roman" w:hAnsi="Times New Roman" w:cs="Times New Roman"/>
                <w:b w:val="0"/>
                <w:szCs w:val="20"/>
              </w:rPr>
            </w:pPr>
            <w:r w:rsidRPr="008630B0">
              <w:rPr>
                <w:rFonts w:ascii="Times New Roman" w:hAnsi="Times New Roman" w:cs="Times New Roman"/>
                <w:b w:val="0"/>
                <w:szCs w:val="20"/>
              </w:rPr>
              <w:t>Mastectomy due to breast cancer</w:t>
            </w:r>
          </w:p>
        </w:tc>
        <w:tc>
          <w:tcPr>
            <w:tcW w:w="1392" w:type="pct"/>
            <w:gridSpan w:val="2"/>
            <w:tcBorders>
              <w:top w:val="nil"/>
              <w:bottom w:val="single" w:sz="4" w:space="0" w:color="auto"/>
            </w:tcBorders>
            <w:vAlign w:val="center"/>
          </w:tcPr>
          <w:p w:rsidR="001F2665" w:rsidRPr="008630B0"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8630B0">
              <w:rPr>
                <w:rFonts w:ascii="Times New Roman" w:hAnsi="Times New Roman" w:cs="Times New Roman"/>
                <w:szCs w:val="20"/>
              </w:rPr>
              <w:t>0.036 (0.020-0.057)</w:t>
            </w:r>
          </w:p>
        </w:tc>
        <w:tc>
          <w:tcPr>
            <w:tcW w:w="1344" w:type="pct"/>
            <w:vMerge/>
            <w:vAlign w:val="center"/>
          </w:tcPr>
          <w:p w:rsidR="001F2665" w:rsidRPr="008630B0"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p>
        </w:tc>
      </w:tr>
      <w:tr w:rsidR="001F2665" w:rsidRPr="008630B0" w:rsidTr="00323CE7">
        <w:trPr>
          <w:trHeight w:val="283"/>
        </w:trPr>
        <w:tc>
          <w:tcPr>
            <w:cnfStyle w:val="001000000000" w:firstRow="0" w:lastRow="0" w:firstColumn="1" w:lastColumn="0" w:oddVBand="0" w:evenVBand="0" w:oddHBand="0" w:evenHBand="0" w:firstRowFirstColumn="0" w:firstRowLastColumn="0" w:lastRowFirstColumn="0" w:lastRowLastColumn="0"/>
            <w:tcW w:w="2264" w:type="pct"/>
            <w:tcBorders>
              <w:top w:val="single" w:sz="4" w:space="0" w:color="auto"/>
              <w:bottom w:val="single" w:sz="4" w:space="0" w:color="auto"/>
            </w:tcBorders>
            <w:vAlign w:val="center"/>
            <w:hideMark/>
          </w:tcPr>
          <w:p w:rsidR="001F2665" w:rsidRPr="008630B0" w:rsidRDefault="001F2665" w:rsidP="001F2665">
            <w:pPr>
              <w:spacing w:after="0"/>
              <w:jc w:val="center"/>
              <w:rPr>
                <w:rFonts w:ascii="Times New Roman" w:eastAsia="Times New Roman" w:hAnsi="Times New Roman" w:cs="Times New Roman"/>
                <w:szCs w:val="20"/>
              </w:rPr>
            </w:pPr>
            <w:bookmarkStart w:id="7" w:name="_Hlk505336310"/>
            <w:bookmarkEnd w:id="6"/>
            <w:r w:rsidRPr="008630B0">
              <w:rPr>
                <w:rFonts w:ascii="Times New Roman" w:eastAsia="Times New Roman" w:hAnsi="Times New Roman" w:cs="Times New Roman"/>
                <w:szCs w:val="20"/>
              </w:rPr>
              <w:t>Health State</w:t>
            </w:r>
          </w:p>
        </w:tc>
        <w:tc>
          <w:tcPr>
            <w:tcW w:w="829" w:type="pct"/>
            <w:tcBorders>
              <w:top w:val="single" w:sz="4" w:space="0" w:color="auto"/>
              <w:bottom w:val="single" w:sz="4" w:space="0" w:color="auto"/>
            </w:tcBorders>
            <w:vAlign w:val="center"/>
            <w:hideMark/>
          </w:tcPr>
          <w:p w:rsidR="001F2665" w:rsidRPr="008630B0"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Cs w:val="20"/>
              </w:rPr>
            </w:pPr>
            <w:proofErr w:type="spellStart"/>
            <w:r w:rsidRPr="008630B0">
              <w:rPr>
                <w:rFonts w:ascii="Times New Roman" w:eastAsia="Times New Roman" w:hAnsi="Times New Roman" w:cs="Times New Roman"/>
                <w:b/>
                <w:szCs w:val="20"/>
              </w:rPr>
              <w:t>HRQoL</w:t>
            </w:r>
            <w:proofErr w:type="spellEnd"/>
            <w:r w:rsidRPr="008630B0">
              <w:rPr>
                <w:rFonts w:ascii="Times New Roman" w:eastAsia="Times New Roman" w:hAnsi="Times New Roman" w:cs="Times New Roman"/>
                <w:b/>
                <w:szCs w:val="20"/>
              </w:rPr>
              <w:t xml:space="preserve"> utility</w:t>
            </w:r>
          </w:p>
        </w:tc>
        <w:tc>
          <w:tcPr>
            <w:tcW w:w="563" w:type="pct"/>
            <w:tcBorders>
              <w:top w:val="single" w:sz="4" w:space="0" w:color="auto"/>
              <w:bottom w:val="single" w:sz="4" w:space="0" w:color="auto"/>
            </w:tcBorders>
            <w:vAlign w:val="center"/>
          </w:tcPr>
          <w:p w:rsidR="001F2665" w:rsidRPr="008630B0"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Cs w:val="20"/>
                <w:vertAlign w:val="superscript"/>
              </w:rPr>
            </w:pPr>
            <w:proofErr w:type="spellStart"/>
            <w:r w:rsidRPr="008630B0">
              <w:rPr>
                <w:rFonts w:ascii="Times New Roman" w:eastAsia="Times New Roman" w:hAnsi="Times New Roman" w:cs="Times New Roman"/>
                <w:b/>
                <w:szCs w:val="20"/>
              </w:rPr>
              <w:t>Disutility</w:t>
            </w:r>
            <w:r w:rsidRPr="008630B0">
              <w:rPr>
                <w:rFonts w:ascii="Times New Roman" w:eastAsia="Times New Roman" w:hAnsi="Times New Roman" w:cs="Times New Roman"/>
                <w:b/>
                <w:szCs w:val="20"/>
                <w:vertAlign w:val="superscript"/>
              </w:rPr>
              <w:t>a</w:t>
            </w:r>
            <w:proofErr w:type="spellEnd"/>
          </w:p>
        </w:tc>
        <w:tc>
          <w:tcPr>
            <w:tcW w:w="1344" w:type="pct"/>
            <w:tcBorders>
              <w:bottom w:val="single" w:sz="4" w:space="0" w:color="auto"/>
            </w:tcBorders>
            <w:vAlign w:val="center"/>
            <w:hideMark/>
          </w:tcPr>
          <w:p w:rsidR="001F2665" w:rsidRPr="008630B0"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Cs w:val="20"/>
              </w:rPr>
            </w:pPr>
            <w:r w:rsidRPr="008630B0">
              <w:rPr>
                <w:rFonts w:ascii="Times New Roman" w:eastAsia="Times New Roman" w:hAnsi="Times New Roman" w:cs="Times New Roman"/>
                <w:b/>
                <w:szCs w:val="20"/>
              </w:rPr>
              <w:t>Reference</w:t>
            </w:r>
          </w:p>
        </w:tc>
      </w:tr>
      <w:tr w:rsidR="001F2665" w:rsidRPr="008630B0" w:rsidTr="00323CE7">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2264" w:type="pct"/>
            <w:tcBorders>
              <w:top w:val="single" w:sz="4" w:space="0" w:color="auto"/>
              <w:bottom w:val="nil"/>
            </w:tcBorders>
            <w:vAlign w:val="center"/>
            <w:hideMark/>
          </w:tcPr>
          <w:p w:rsidR="001F2665" w:rsidRPr="008630B0" w:rsidRDefault="001F2665" w:rsidP="001F2665">
            <w:pPr>
              <w:spacing w:after="0"/>
              <w:rPr>
                <w:rFonts w:ascii="Times New Roman" w:eastAsia="Times New Roman" w:hAnsi="Times New Roman" w:cs="Times New Roman"/>
                <w:b w:val="0"/>
                <w:szCs w:val="20"/>
              </w:rPr>
            </w:pPr>
            <w:r w:rsidRPr="008630B0">
              <w:rPr>
                <w:rFonts w:ascii="Times New Roman" w:eastAsia="Times New Roman" w:hAnsi="Times New Roman" w:cs="Times New Roman"/>
                <w:b w:val="0"/>
                <w:szCs w:val="20"/>
              </w:rPr>
              <w:t>Mammographic screening</w:t>
            </w:r>
            <w:r>
              <w:rPr>
                <w:rFonts w:ascii="Times New Roman" w:eastAsia="Times New Roman" w:hAnsi="Times New Roman" w:cs="Times New Roman"/>
                <w:b w:val="0"/>
                <w:szCs w:val="20"/>
              </w:rPr>
              <w:t xml:space="preserve"> – 1 week</w:t>
            </w:r>
          </w:p>
        </w:tc>
        <w:tc>
          <w:tcPr>
            <w:tcW w:w="829" w:type="pct"/>
            <w:tcBorders>
              <w:top w:val="single" w:sz="4" w:space="0" w:color="auto"/>
              <w:bottom w:val="nil"/>
            </w:tcBorders>
            <w:vAlign w:val="center"/>
            <w:hideMark/>
          </w:tcPr>
          <w:p w:rsidR="001F2665" w:rsidRPr="008630B0"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0.99</w:t>
            </w:r>
          </w:p>
        </w:tc>
        <w:tc>
          <w:tcPr>
            <w:tcW w:w="563" w:type="pct"/>
            <w:tcBorders>
              <w:top w:val="single" w:sz="4" w:space="0" w:color="auto"/>
              <w:bottom w:val="nil"/>
            </w:tcBorders>
            <w:vAlign w:val="center"/>
          </w:tcPr>
          <w:p w:rsidR="001F2665" w:rsidRPr="008630B0"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0.01</w:t>
            </w:r>
          </w:p>
        </w:tc>
        <w:tc>
          <w:tcPr>
            <w:tcW w:w="1344" w:type="pct"/>
            <w:tcBorders>
              <w:top w:val="single" w:sz="4" w:space="0" w:color="auto"/>
              <w:bottom w:val="nil"/>
            </w:tcBorders>
            <w:vAlign w:val="center"/>
            <w:hideMark/>
          </w:tcPr>
          <w:p w:rsidR="001F2665" w:rsidRPr="008630B0" w:rsidRDefault="001F2665" w:rsidP="001F2665">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 xml:space="preserve">De Koning et al. (1991) </w:t>
            </w:r>
            <w:r>
              <w:rPr>
                <w:rFonts w:ascii="Times New Roman" w:eastAsia="Times New Roman" w:hAnsi="Times New Roman" w:cs="Times New Roman"/>
                <w:szCs w:val="20"/>
              </w:rPr>
              <w:t>[17</w:t>
            </w:r>
            <w:r w:rsidRPr="008630B0">
              <w:rPr>
                <w:rFonts w:ascii="Times New Roman" w:eastAsia="Times New Roman" w:hAnsi="Times New Roman" w:cs="Times New Roman"/>
                <w:szCs w:val="20"/>
              </w:rPr>
              <w:t>]</w:t>
            </w:r>
          </w:p>
        </w:tc>
      </w:tr>
      <w:tr w:rsidR="001F2665" w:rsidRPr="008630B0" w:rsidTr="00323CE7">
        <w:trPr>
          <w:trHeight w:val="260"/>
        </w:trPr>
        <w:tc>
          <w:tcPr>
            <w:cnfStyle w:val="001000000000" w:firstRow="0" w:lastRow="0" w:firstColumn="1" w:lastColumn="0" w:oddVBand="0" w:evenVBand="0" w:oddHBand="0" w:evenHBand="0" w:firstRowFirstColumn="0" w:firstRowLastColumn="0" w:lastRowFirstColumn="0" w:lastRowLastColumn="0"/>
            <w:tcW w:w="2264" w:type="pct"/>
            <w:tcBorders>
              <w:top w:val="nil"/>
              <w:bottom w:val="nil"/>
            </w:tcBorders>
            <w:vAlign w:val="center"/>
            <w:hideMark/>
          </w:tcPr>
          <w:p w:rsidR="001F2665" w:rsidRPr="008630B0" w:rsidRDefault="001F2665" w:rsidP="001F2665">
            <w:pPr>
              <w:spacing w:after="0"/>
              <w:rPr>
                <w:rFonts w:ascii="Times New Roman" w:eastAsia="Times New Roman" w:hAnsi="Times New Roman" w:cs="Times New Roman"/>
                <w:b w:val="0"/>
                <w:szCs w:val="20"/>
              </w:rPr>
            </w:pPr>
            <w:r w:rsidRPr="008630B0">
              <w:rPr>
                <w:rFonts w:ascii="Times New Roman" w:eastAsia="Times New Roman" w:hAnsi="Times New Roman" w:cs="Times New Roman"/>
                <w:b w:val="0"/>
                <w:szCs w:val="20"/>
              </w:rPr>
              <w:t>Biopsy with benign results / due to false positive</w:t>
            </w:r>
          </w:p>
        </w:tc>
        <w:tc>
          <w:tcPr>
            <w:tcW w:w="829" w:type="pct"/>
            <w:tcBorders>
              <w:top w:val="nil"/>
              <w:bottom w:val="nil"/>
            </w:tcBorders>
            <w:vAlign w:val="center"/>
            <w:hideMark/>
          </w:tcPr>
          <w:p w:rsidR="001F2665" w:rsidRPr="008630B0"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0.89</w:t>
            </w:r>
          </w:p>
        </w:tc>
        <w:tc>
          <w:tcPr>
            <w:tcW w:w="563" w:type="pct"/>
            <w:tcBorders>
              <w:top w:val="nil"/>
              <w:bottom w:val="nil"/>
            </w:tcBorders>
            <w:vAlign w:val="center"/>
          </w:tcPr>
          <w:p w:rsidR="001F2665" w:rsidRPr="008630B0"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0.11</w:t>
            </w:r>
          </w:p>
        </w:tc>
        <w:tc>
          <w:tcPr>
            <w:tcW w:w="1344" w:type="pct"/>
            <w:tcBorders>
              <w:top w:val="nil"/>
              <w:bottom w:val="nil"/>
            </w:tcBorders>
            <w:vAlign w:val="center"/>
            <w:hideMark/>
          </w:tcPr>
          <w:p w:rsidR="001F2665" w:rsidRPr="008630B0" w:rsidRDefault="001F2665" w:rsidP="001F2665">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 xml:space="preserve">De </w:t>
            </w:r>
            <w:proofErr w:type="spellStart"/>
            <w:r w:rsidRPr="008630B0">
              <w:rPr>
                <w:rFonts w:ascii="Times New Roman" w:eastAsia="Times New Roman" w:hAnsi="Times New Roman" w:cs="Times New Roman"/>
                <w:szCs w:val="20"/>
              </w:rPr>
              <w:t>Haes</w:t>
            </w:r>
            <w:proofErr w:type="spellEnd"/>
            <w:r w:rsidRPr="008630B0">
              <w:rPr>
                <w:rFonts w:ascii="Times New Roman" w:eastAsia="Times New Roman" w:hAnsi="Times New Roman" w:cs="Times New Roman"/>
                <w:szCs w:val="20"/>
              </w:rPr>
              <w:t xml:space="preserve"> et al. (1991) </w:t>
            </w:r>
            <w:r>
              <w:rPr>
                <w:rFonts w:ascii="Times New Roman" w:eastAsia="Times New Roman" w:hAnsi="Times New Roman" w:cs="Times New Roman"/>
                <w:szCs w:val="20"/>
              </w:rPr>
              <w:t>[16</w:t>
            </w:r>
            <w:r w:rsidRPr="008630B0">
              <w:rPr>
                <w:rFonts w:ascii="Times New Roman" w:eastAsia="Times New Roman" w:hAnsi="Times New Roman" w:cs="Times New Roman"/>
                <w:szCs w:val="20"/>
              </w:rPr>
              <w:t>]</w:t>
            </w:r>
          </w:p>
        </w:tc>
      </w:tr>
      <w:tr w:rsidR="001F2665" w:rsidRPr="008630B0" w:rsidTr="00323CE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2264" w:type="pct"/>
            <w:tcBorders>
              <w:top w:val="nil"/>
              <w:bottom w:val="nil"/>
            </w:tcBorders>
            <w:vAlign w:val="center"/>
            <w:hideMark/>
          </w:tcPr>
          <w:p w:rsidR="001F2665" w:rsidRPr="008630B0" w:rsidRDefault="001F2665" w:rsidP="001F2665">
            <w:pPr>
              <w:spacing w:after="0"/>
              <w:rPr>
                <w:rFonts w:ascii="Times New Roman" w:eastAsia="Times New Roman" w:hAnsi="Times New Roman" w:cs="Times New Roman"/>
                <w:b w:val="0"/>
                <w:szCs w:val="20"/>
              </w:rPr>
            </w:pPr>
            <w:r w:rsidRPr="008630B0">
              <w:rPr>
                <w:rFonts w:ascii="Times New Roman" w:eastAsia="Times New Roman" w:hAnsi="Times New Roman" w:cs="Times New Roman"/>
                <w:b w:val="0"/>
                <w:szCs w:val="20"/>
              </w:rPr>
              <w:t>3 months – 1 year after mastectomy</w:t>
            </w:r>
          </w:p>
        </w:tc>
        <w:tc>
          <w:tcPr>
            <w:tcW w:w="829" w:type="pct"/>
            <w:tcBorders>
              <w:top w:val="nil"/>
              <w:bottom w:val="nil"/>
            </w:tcBorders>
            <w:vAlign w:val="center"/>
            <w:hideMark/>
          </w:tcPr>
          <w:p w:rsidR="001F2665" w:rsidRPr="008630B0"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0.84</w:t>
            </w:r>
          </w:p>
        </w:tc>
        <w:tc>
          <w:tcPr>
            <w:tcW w:w="563" w:type="pct"/>
            <w:tcBorders>
              <w:top w:val="nil"/>
              <w:bottom w:val="nil"/>
            </w:tcBorders>
            <w:vAlign w:val="center"/>
          </w:tcPr>
          <w:p w:rsidR="001F2665" w:rsidRPr="008630B0"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0.16</w:t>
            </w:r>
          </w:p>
        </w:tc>
        <w:tc>
          <w:tcPr>
            <w:tcW w:w="1344" w:type="pct"/>
            <w:tcBorders>
              <w:top w:val="nil"/>
              <w:bottom w:val="nil"/>
            </w:tcBorders>
            <w:vAlign w:val="center"/>
            <w:hideMark/>
          </w:tcPr>
          <w:p w:rsidR="001F2665" w:rsidRPr="008630B0" w:rsidRDefault="001F2665" w:rsidP="001F2665">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 xml:space="preserve">De </w:t>
            </w:r>
            <w:proofErr w:type="spellStart"/>
            <w:r w:rsidRPr="008630B0">
              <w:rPr>
                <w:rFonts w:ascii="Times New Roman" w:eastAsia="Times New Roman" w:hAnsi="Times New Roman" w:cs="Times New Roman"/>
                <w:szCs w:val="20"/>
              </w:rPr>
              <w:t>Haes</w:t>
            </w:r>
            <w:proofErr w:type="spellEnd"/>
            <w:r w:rsidRPr="008630B0">
              <w:rPr>
                <w:rFonts w:ascii="Times New Roman" w:eastAsia="Times New Roman" w:hAnsi="Times New Roman" w:cs="Times New Roman"/>
                <w:szCs w:val="20"/>
              </w:rPr>
              <w:t xml:space="preserve"> et al. (1991)</w:t>
            </w:r>
            <w:r>
              <w:rPr>
                <w:rFonts w:ascii="Times New Roman" w:eastAsia="Times New Roman" w:hAnsi="Times New Roman" w:cs="Times New Roman"/>
                <w:szCs w:val="20"/>
              </w:rPr>
              <w:t xml:space="preserve"> [16</w:t>
            </w:r>
            <w:r w:rsidRPr="008630B0">
              <w:rPr>
                <w:rFonts w:ascii="Times New Roman" w:eastAsia="Times New Roman" w:hAnsi="Times New Roman" w:cs="Times New Roman"/>
                <w:szCs w:val="20"/>
              </w:rPr>
              <w:t xml:space="preserve">] </w:t>
            </w:r>
          </w:p>
        </w:tc>
      </w:tr>
      <w:tr w:rsidR="001F2665" w:rsidRPr="008630B0" w:rsidTr="00323CE7">
        <w:trPr>
          <w:trHeight w:val="270"/>
        </w:trPr>
        <w:tc>
          <w:tcPr>
            <w:cnfStyle w:val="001000000000" w:firstRow="0" w:lastRow="0" w:firstColumn="1" w:lastColumn="0" w:oddVBand="0" w:evenVBand="0" w:oddHBand="0" w:evenHBand="0" w:firstRowFirstColumn="0" w:firstRowLastColumn="0" w:lastRowFirstColumn="0" w:lastRowLastColumn="0"/>
            <w:tcW w:w="2264" w:type="pct"/>
            <w:tcBorders>
              <w:top w:val="nil"/>
              <w:bottom w:val="nil"/>
            </w:tcBorders>
            <w:vAlign w:val="center"/>
            <w:hideMark/>
          </w:tcPr>
          <w:p w:rsidR="001F2665" w:rsidRPr="008630B0" w:rsidRDefault="001F2665" w:rsidP="001F2665">
            <w:pPr>
              <w:spacing w:after="0"/>
              <w:rPr>
                <w:rFonts w:ascii="Times New Roman" w:eastAsia="Times New Roman" w:hAnsi="Times New Roman" w:cs="Times New Roman"/>
                <w:b w:val="0"/>
                <w:szCs w:val="20"/>
                <w:vertAlign w:val="superscript"/>
              </w:rPr>
            </w:pPr>
            <w:r w:rsidRPr="008630B0">
              <w:rPr>
                <w:rFonts w:ascii="Times New Roman" w:eastAsia="Times New Roman" w:hAnsi="Times New Roman" w:cs="Times New Roman"/>
                <w:b w:val="0"/>
                <w:szCs w:val="20"/>
              </w:rPr>
              <w:t xml:space="preserve">Breast </w:t>
            </w:r>
            <w:proofErr w:type="spellStart"/>
            <w:r w:rsidRPr="008630B0">
              <w:rPr>
                <w:rFonts w:ascii="Times New Roman" w:eastAsia="Times New Roman" w:hAnsi="Times New Roman" w:cs="Times New Roman"/>
                <w:b w:val="0"/>
                <w:szCs w:val="20"/>
              </w:rPr>
              <w:t>cancer</w:t>
            </w:r>
            <w:r w:rsidRPr="008630B0">
              <w:rPr>
                <w:rFonts w:ascii="Times New Roman" w:eastAsia="Times New Roman" w:hAnsi="Times New Roman" w:cs="Times New Roman"/>
                <w:b w:val="0"/>
                <w:szCs w:val="20"/>
                <w:vertAlign w:val="superscript"/>
              </w:rPr>
              <w:t>b</w:t>
            </w:r>
            <w:proofErr w:type="spellEnd"/>
          </w:p>
        </w:tc>
        <w:tc>
          <w:tcPr>
            <w:tcW w:w="829" w:type="pct"/>
            <w:tcBorders>
              <w:top w:val="nil"/>
              <w:bottom w:val="nil"/>
            </w:tcBorders>
            <w:vAlign w:val="center"/>
            <w:hideMark/>
          </w:tcPr>
          <w:p w:rsidR="001F2665" w:rsidRPr="008630B0"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0.83 (0.40-0.90)</w:t>
            </w:r>
            <w:r w:rsidRPr="008630B0">
              <w:rPr>
                <w:rFonts w:ascii="Times New Roman" w:eastAsia="Times New Roman" w:hAnsi="Times New Roman" w:cs="Times New Roman"/>
                <w:szCs w:val="20"/>
                <w:vertAlign w:val="superscript"/>
              </w:rPr>
              <w:t>c</w:t>
            </w:r>
          </w:p>
        </w:tc>
        <w:tc>
          <w:tcPr>
            <w:tcW w:w="563" w:type="pct"/>
            <w:tcBorders>
              <w:top w:val="nil"/>
              <w:bottom w:val="nil"/>
            </w:tcBorders>
            <w:vAlign w:val="center"/>
          </w:tcPr>
          <w:p w:rsidR="001F2665" w:rsidRPr="008630B0"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0.17</w:t>
            </w:r>
          </w:p>
        </w:tc>
        <w:tc>
          <w:tcPr>
            <w:tcW w:w="1344" w:type="pct"/>
            <w:tcBorders>
              <w:top w:val="nil"/>
              <w:bottom w:val="nil"/>
            </w:tcBorders>
            <w:vAlign w:val="center"/>
            <w:hideMark/>
          </w:tcPr>
          <w:p w:rsidR="001F2665" w:rsidRPr="008630B0" w:rsidRDefault="001F2665" w:rsidP="001F2665">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rPr>
            </w:pPr>
            <w:proofErr w:type="spellStart"/>
            <w:r w:rsidRPr="008630B0">
              <w:rPr>
                <w:rFonts w:ascii="Times New Roman" w:eastAsia="Times New Roman" w:hAnsi="Times New Roman" w:cs="Times New Roman"/>
                <w:szCs w:val="20"/>
              </w:rPr>
              <w:t>Schleinitz</w:t>
            </w:r>
            <w:proofErr w:type="spellEnd"/>
            <w:r w:rsidRPr="008630B0">
              <w:rPr>
                <w:rFonts w:ascii="Times New Roman" w:eastAsia="Times New Roman" w:hAnsi="Times New Roman" w:cs="Times New Roman"/>
                <w:szCs w:val="20"/>
              </w:rPr>
              <w:t xml:space="preserve"> et al. (2006) </w:t>
            </w:r>
            <w:r>
              <w:rPr>
                <w:rFonts w:ascii="Times New Roman" w:eastAsia="Times New Roman" w:hAnsi="Times New Roman" w:cs="Times New Roman"/>
                <w:szCs w:val="20"/>
              </w:rPr>
              <w:t>[31</w:t>
            </w:r>
            <w:r w:rsidRPr="008630B0">
              <w:rPr>
                <w:rFonts w:ascii="Times New Roman" w:eastAsia="Times New Roman" w:hAnsi="Times New Roman" w:cs="Times New Roman"/>
                <w:szCs w:val="20"/>
              </w:rPr>
              <w:t>]</w:t>
            </w:r>
          </w:p>
        </w:tc>
      </w:tr>
      <w:tr w:rsidR="001F2665" w:rsidRPr="008630B0" w:rsidTr="00323CE7">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264" w:type="pct"/>
            <w:tcBorders>
              <w:top w:val="nil"/>
              <w:bottom w:val="nil"/>
            </w:tcBorders>
            <w:vAlign w:val="center"/>
            <w:hideMark/>
          </w:tcPr>
          <w:p w:rsidR="001F2665" w:rsidRPr="008630B0" w:rsidRDefault="001F2665" w:rsidP="001F2665">
            <w:pPr>
              <w:spacing w:after="0"/>
              <w:rPr>
                <w:rFonts w:ascii="Times New Roman" w:eastAsia="Times New Roman" w:hAnsi="Times New Roman" w:cs="Times New Roman"/>
                <w:b w:val="0"/>
                <w:szCs w:val="20"/>
              </w:rPr>
            </w:pPr>
            <w:r w:rsidRPr="008630B0">
              <w:rPr>
                <w:rFonts w:ascii="Times New Roman" w:eastAsia="Times New Roman" w:hAnsi="Times New Roman" w:cs="Times New Roman"/>
                <w:b w:val="0"/>
                <w:szCs w:val="20"/>
              </w:rPr>
              <w:t>Base state – stable metastatic disease with no toxicity</w:t>
            </w:r>
          </w:p>
        </w:tc>
        <w:tc>
          <w:tcPr>
            <w:tcW w:w="829" w:type="pct"/>
            <w:tcBorders>
              <w:top w:val="nil"/>
              <w:bottom w:val="nil"/>
            </w:tcBorders>
            <w:vAlign w:val="center"/>
            <w:hideMark/>
          </w:tcPr>
          <w:p w:rsidR="001F2665" w:rsidRPr="008630B0"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0.71</w:t>
            </w:r>
          </w:p>
        </w:tc>
        <w:tc>
          <w:tcPr>
            <w:tcW w:w="563" w:type="pct"/>
            <w:tcBorders>
              <w:top w:val="nil"/>
              <w:bottom w:val="nil"/>
            </w:tcBorders>
            <w:vAlign w:val="center"/>
          </w:tcPr>
          <w:p w:rsidR="001F2665" w:rsidRPr="008630B0"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0.29</w:t>
            </w:r>
          </w:p>
        </w:tc>
        <w:tc>
          <w:tcPr>
            <w:tcW w:w="1344" w:type="pct"/>
            <w:tcBorders>
              <w:top w:val="nil"/>
              <w:bottom w:val="nil"/>
            </w:tcBorders>
            <w:vAlign w:val="center"/>
            <w:hideMark/>
          </w:tcPr>
          <w:p w:rsidR="001F2665" w:rsidRPr="008630B0" w:rsidRDefault="001F2665" w:rsidP="001F2665">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 xml:space="preserve">Lloyd et al. (2006) </w:t>
            </w:r>
            <w:r>
              <w:rPr>
                <w:rFonts w:ascii="Times New Roman" w:eastAsia="Times New Roman" w:hAnsi="Times New Roman" w:cs="Times New Roman"/>
                <w:szCs w:val="20"/>
              </w:rPr>
              <w:t>[18</w:t>
            </w:r>
            <w:r w:rsidRPr="008630B0">
              <w:rPr>
                <w:rFonts w:ascii="Times New Roman" w:eastAsia="Times New Roman" w:hAnsi="Times New Roman" w:cs="Times New Roman"/>
                <w:szCs w:val="20"/>
              </w:rPr>
              <w:t>]</w:t>
            </w:r>
          </w:p>
        </w:tc>
      </w:tr>
      <w:tr w:rsidR="001F2665" w:rsidRPr="008630B0" w:rsidTr="00323CE7">
        <w:trPr>
          <w:trHeight w:val="302"/>
        </w:trPr>
        <w:tc>
          <w:tcPr>
            <w:cnfStyle w:val="001000000000" w:firstRow="0" w:lastRow="0" w:firstColumn="1" w:lastColumn="0" w:oddVBand="0" w:evenVBand="0" w:oddHBand="0" w:evenHBand="0" w:firstRowFirstColumn="0" w:firstRowLastColumn="0" w:lastRowFirstColumn="0" w:lastRowLastColumn="0"/>
            <w:tcW w:w="2264" w:type="pct"/>
            <w:tcBorders>
              <w:top w:val="nil"/>
              <w:bottom w:val="single" w:sz="4" w:space="0" w:color="auto"/>
            </w:tcBorders>
            <w:vAlign w:val="center"/>
            <w:hideMark/>
          </w:tcPr>
          <w:p w:rsidR="001F2665" w:rsidRPr="008630B0" w:rsidRDefault="001F2665" w:rsidP="001F2665">
            <w:pPr>
              <w:spacing w:after="0"/>
              <w:rPr>
                <w:rFonts w:ascii="Times New Roman" w:eastAsia="Times New Roman" w:hAnsi="Times New Roman" w:cs="Times New Roman"/>
                <w:b w:val="0"/>
                <w:szCs w:val="20"/>
              </w:rPr>
            </w:pPr>
            <w:r w:rsidRPr="008630B0">
              <w:rPr>
                <w:rFonts w:ascii="Times New Roman" w:eastAsia="Times New Roman" w:hAnsi="Times New Roman" w:cs="Times New Roman"/>
                <w:b w:val="0"/>
                <w:szCs w:val="20"/>
              </w:rPr>
              <w:t>Terminal illness</w:t>
            </w:r>
            <w:r>
              <w:rPr>
                <w:rFonts w:ascii="Times New Roman" w:eastAsia="Times New Roman" w:hAnsi="Times New Roman" w:cs="Times New Roman"/>
                <w:b w:val="0"/>
                <w:szCs w:val="20"/>
              </w:rPr>
              <w:t xml:space="preserve"> – 1 month</w:t>
            </w:r>
          </w:p>
        </w:tc>
        <w:tc>
          <w:tcPr>
            <w:tcW w:w="829" w:type="pct"/>
            <w:tcBorders>
              <w:top w:val="nil"/>
              <w:bottom w:val="single" w:sz="4" w:space="0" w:color="auto"/>
            </w:tcBorders>
            <w:vAlign w:val="center"/>
            <w:hideMark/>
          </w:tcPr>
          <w:p w:rsidR="001F2665" w:rsidRPr="008630B0"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0.29</w:t>
            </w:r>
          </w:p>
        </w:tc>
        <w:tc>
          <w:tcPr>
            <w:tcW w:w="563" w:type="pct"/>
            <w:tcBorders>
              <w:top w:val="nil"/>
              <w:bottom w:val="single" w:sz="4" w:space="0" w:color="auto"/>
            </w:tcBorders>
            <w:vAlign w:val="center"/>
          </w:tcPr>
          <w:p w:rsidR="001F2665" w:rsidRPr="008630B0"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0.71</w:t>
            </w:r>
          </w:p>
        </w:tc>
        <w:tc>
          <w:tcPr>
            <w:tcW w:w="1344" w:type="pct"/>
            <w:tcBorders>
              <w:top w:val="nil"/>
              <w:bottom w:val="single" w:sz="4" w:space="0" w:color="auto"/>
            </w:tcBorders>
            <w:vAlign w:val="center"/>
            <w:hideMark/>
          </w:tcPr>
          <w:p w:rsidR="001F2665" w:rsidRPr="008630B0" w:rsidRDefault="001F2665" w:rsidP="001F2665">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rPr>
            </w:pPr>
            <w:r w:rsidRPr="008630B0">
              <w:rPr>
                <w:rFonts w:ascii="Times New Roman" w:eastAsia="Times New Roman" w:hAnsi="Times New Roman" w:cs="Times New Roman"/>
                <w:szCs w:val="20"/>
              </w:rPr>
              <w:t xml:space="preserve">De </w:t>
            </w:r>
            <w:proofErr w:type="spellStart"/>
            <w:r w:rsidRPr="008630B0">
              <w:rPr>
                <w:rFonts w:ascii="Times New Roman" w:eastAsia="Times New Roman" w:hAnsi="Times New Roman" w:cs="Times New Roman"/>
                <w:szCs w:val="20"/>
              </w:rPr>
              <w:t>Haes</w:t>
            </w:r>
            <w:proofErr w:type="spellEnd"/>
            <w:r w:rsidRPr="008630B0">
              <w:rPr>
                <w:rFonts w:ascii="Times New Roman" w:eastAsia="Times New Roman" w:hAnsi="Times New Roman" w:cs="Times New Roman"/>
                <w:szCs w:val="20"/>
              </w:rPr>
              <w:t xml:space="preserve"> et al. (1991)</w:t>
            </w:r>
            <w:r>
              <w:rPr>
                <w:rFonts w:ascii="Times New Roman" w:eastAsia="Times New Roman" w:hAnsi="Times New Roman" w:cs="Times New Roman"/>
                <w:szCs w:val="20"/>
              </w:rPr>
              <w:t xml:space="preserve"> [16</w:t>
            </w:r>
            <w:r w:rsidRPr="008630B0">
              <w:rPr>
                <w:rFonts w:ascii="Times New Roman" w:eastAsia="Times New Roman" w:hAnsi="Times New Roman" w:cs="Times New Roman"/>
                <w:szCs w:val="20"/>
              </w:rPr>
              <w:t>]</w:t>
            </w:r>
          </w:p>
        </w:tc>
      </w:tr>
      <w:tr w:rsidR="001F2665" w:rsidRPr="00595E48" w:rsidTr="00323CE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000" w:type="pct"/>
            <w:gridSpan w:val="4"/>
            <w:tcBorders>
              <w:top w:val="single" w:sz="4" w:space="0" w:color="auto"/>
              <w:bottom w:val="nil"/>
            </w:tcBorders>
            <w:vAlign w:val="center"/>
          </w:tcPr>
          <w:p w:rsidR="001F2665" w:rsidRPr="008630B0" w:rsidRDefault="001F2665" w:rsidP="001F2665">
            <w:pPr>
              <w:spacing w:after="0"/>
              <w:rPr>
                <w:rFonts w:ascii="Times New Roman" w:eastAsia="Times New Roman" w:hAnsi="Times New Roman" w:cs="Times New Roman"/>
                <w:b w:val="0"/>
                <w:i/>
                <w:sz w:val="18"/>
                <w:szCs w:val="20"/>
              </w:rPr>
            </w:pPr>
            <w:r w:rsidRPr="008630B0">
              <w:rPr>
                <w:rFonts w:ascii="Times New Roman" w:eastAsia="Times New Roman" w:hAnsi="Times New Roman" w:cs="Times New Roman"/>
                <w:b w:val="0"/>
                <w:i/>
                <w:sz w:val="18"/>
              </w:rPr>
              <w:t xml:space="preserve">Abbreviations: </w:t>
            </w:r>
            <w:r w:rsidRPr="008630B0">
              <w:rPr>
                <w:rFonts w:ascii="Times New Roman" w:eastAsia="Times New Roman" w:hAnsi="Times New Roman" w:cs="Times New Roman"/>
                <w:b w:val="0"/>
                <w:i/>
                <w:sz w:val="18"/>
                <w:szCs w:val="20"/>
              </w:rPr>
              <w:t xml:space="preserve">CI – Confidence Interval; </w:t>
            </w:r>
            <w:proofErr w:type="spellStart"/>
            <w:r w:rsidRPr="008630B0">
              <w:rPr>
                <w:rFonts w:ascii="Times New Roman" w:eastAsia="Times New Roman" w:hAnsi="Times New Roman" w:cs="Times New Roman"/>
                <w:b w:val="0"/>
                <w:i/>
                <w:sz w:val="18"/>
                <w:szCs w:val="20"/>
              </w:rPr>
              <w:t>HRQoL</w:t>
            </w:r>
            <w:proofErr w:type="spellEnd"/>
            <w:r w:rsidRPr="008630B0">
              <w:rPr>
                <w:rFonts w:ascii="Times New Roman" w:eastAsia="Times New Roman" w:hAnsi="Times New Roman" w:cs="Times New Roman"/>
                <w:b w:val="0"/>
                <w:i/>
                <w:sz w:val="18"/>
                <w:szCs w:val="20"/>
              </w:rPr>
              <w:t xml:space="preserve"> utilities – Health Related Quality of Life Utilities;</w:t>
            </w:r>
          </w:p>
          <w:p w:rsidR="001F2665" w:rsidRPr="008630B0" w:rsidRDefault="001F2665" w:rsidP="001F2665">
            <w:pPr>
              <w:spacing w:after="0"/>
              <w:rPr>
                <w:rFonts w:ascii="Times New Roman" w:eastAsia="Times New Roman" w:hAnsi="Times New Roman" w:cs="Times New Roman"/>
                <w:b w:val="0"/>
                <w:i/>
                <w:sz w:val="18"/>
                <w:szCs w:val="20"/>
                <w:vertAlign w:val="superscript"/>
              </w:rPr>
            </w:pPr>
            <w:r w:rsidRPr="008630B0">
              <w:rPr>
                <w:rFonts w:ascii="Times New Roman" w:eastAsia="Times New Roman" w:hAnsi="Times New Roman" w:cs="Times New Roman"/>
                <w:b w:val="0"/>
                <w:i/>
                <w:sz w:val="18"/>
                <w:szCs w:val="20"/>
                <w:vertAlign w:val="superscript"/>
              </w:rPr>
              <w:t xml:space="preserve">a </w:t>
            </w:r>
            <w:r w:rsidRPr="008630B0">
              <w:rPr>
                <w:rFonts w:ascii="Times New Roman" w:eastAsia="Times New Roman" w:hAnsi="Times New Roman" w:cs="Times New Roman"/>
                <w:b w:val="0"/>
                <w:i/>
                <w:sz w:val="18"/>
                <w:szCs w:val="20"/>
              </w:rPr>
              <w:t xml:space="preserve">Disutility is calculated as 1 – </w:t>
            </w:r>
            <w:proofErr w:type="spellStart"/>
            <w:r w:rsidRPr="008630B0">
              <w:rPr>
                <w:rFonts w:ascii="Times New Roman" w:eastAsia="Times New Roman" w:hAnsi="Times New Roman" w:cs="Times New Roman"/>
                <w:b w:val="0"/>
                <w:i/>
                <w:sz w:val="18"/>
                <w:szCs w:val="20"/>
              </w:rPr>
              <w:t>HRQoL</w:t>
            </w:r>
            <w:proofErr w:type="spellEnd"/>
          </w:p>
          <w:p w:rsidR="001F2665" w:rsidRPr="008630B0" w:rsidRDefault="001F2665" w:rsidP="001F2665">
            <w:pPr>
              <w:spacing w:after="0"/>
              <w:rPr>
                <w:rFonts w:ascii="Times New Roman" w:eastAsia="Times New Roman" w:hAnsi="Times New Roman" w:cs="Times New Roman"/>
                <w:b w:val="0"/>
                <w:i/>
                <w:sz w:val="18"/>
                <w:szCs w:val="20"/>
              </w:rPr>
            </w:pPr>
            <w:proofErr w:type="spellStart"/>
            <w:r w:rsidRPr="008630B0">
              <w:rPr>
                <w:rFonts w:ascii="Times New Roman" w:eastAsia="Times New Roman" w:hAnsi="Times New Roman" w:cs="Times New Roman"/>
                <w:b w:val="0"/>
                <w:i/>
                <w:sz w:val="18"/>
                <w:szCs w:val="20"/>
                <w:vertAlign w:val="superscript"/>
              </w:rPr>
              <w:t>b</w:t>
            </w:r>
            <w:r w:rsidRPr="008630B0">
              <w:rPr>
                <w:rFonts w:ascii="Times New Roman" w:eastAsia="Times New Roman" w:hAnsi="Times New Roman" w:cs="Times New Roman"/>
                <w:b w:val="0"/>
                <w:i/>
                <w:sz w:val="18"/>
                <w:szCs w:val="20"/>
              </w:rPr>
              <w:t>The</w:t>
            </w:r>
            <w:proofErr w:type="spellEnd"/>
            <w:r w:rsidRPr="008630B0">
              <w:rPr>
                <w:rFonts w:ascii="Times New Roman" w:eastAsia="Times New Roman" w:hAnsi="Times New Roman" w:cs="Times New Roman"/>
                <w:b w:val="0"/>
                <w:i/>
                <w:sz w:val="18"/>
                <w:szCs w:val="20"/>
              </w:rPr>
              <w:t xml:space="preserve"> value is the mean of utilities for stage 1 and stage 2 by TNM classification (for more, see </w:t>
            </w:r>
            <w:proofErr w:type="spellStart"/>
            <w:r w:rsidRPr="008630B0">
              <w:rPr>
                <w:rFonts w:ascii="Times New Roman" w:eastAsia="Times New Roman" w:hAnsi="Times New Roman" w:cs="Times New Roman"/>
                <w:b w:val="0"/>
                <w:i/>
                <w:sz w:val="18"/>
                <w:szCs w:val="20"/>
              </w:rPr>
              <w:t>Schleinitz</w:t>
            </w:r>
            <w:proofErr w:type="spellEnd"/>
            <w:r w:rsidRPr="008630B0">
              <w:rPr>
                <w:rFonts w:ascii="Times New Roman" w:eastAsia="Times New Roman" w:hAnsi="Times New Roman" w:cs="Times New Roman"/>
                <w:b w:val="0"/>
                <w:i/>
                <w:sz w:val="18"/>
                <w:szCs w:val="20"/>
              </w:rPr>
              <w:t xml:space="preserve"> et </w:t>
            </w:r>
            <w:r w:rsidRPr="008630B0">
              <w:rPr>
                <w:rFonts w:ascii="Times New Roman" w:eastAsia="Times New Roman" w:hAnsi="Times New Roman" w:cs="Times New Roman"/>
                <w:b w:val="0"/>
                <w:i/>
                <w:noProof/>
                <w:sz w:val="18"/>
                <w:szCs w:val="20"/>
              </w:rPr>
              <w:t>al</w:t>
            </w:r>
            <w:r w:rsidRPr="008630B0">
              <w:rPr>
                <w:rFonts w:ascii="Times New Roman" w:eastAsia="Times New Roman" w:hAnsi="Times New Roman" w:cs="Times New Roman"/>
                <w:b w:val="0"/>
                <w:i/>
                <w:sz w:val="18"/>
                <w:szCs w:val="20"/>
              </w:rPr>
              <w:t xml:space="preserve">. 2006) </w:t>
            </w:r>
            <w:r>
              <w:rPr>
                <w:rFonts w:ascii="Times New Roman" w:eastAsia="Times New Roman" w:hAnsi="Times New Roman" w:cs="Times New Roman"/>
                <w:b w:val="0"/>
                <w:i/>
                <w:sz w:val="18"/>
                <w:szCs w:val="20"/>
                <w:lang w:val="en-GB"/>
              </w:rPr>
              <w:t>[31</w:t>
            </w:r>
            <w:r w:rsidRPr="008630B0">
              <w:rPr>
                <w:rFonts w:ascii="Times New Roman" w:eastAsia="Times New Roman" w:hAnsi="Times New Roman" w:cs="Times New Roman"/>
                <w:b w:val="0"/>
                <w:i/>
                <w:sz w:val="18"/>
                <w:szCs w:val="20"/>
                <w:lang w:val="en-GB"/>
              </w:rPr>
              <w:t>]</w:t>
            </w:r>
            <w:r w:rsidRPr="008630B0">
              <w:rPr>
                <w:rFonts w:ascii="Times New Roman" w:eastAsia="Times New Roman" w:hAnsi="Times New Roman" w:cs="Times New Roman"/>
                <w:b w:val="0"/>
                <w:i/>
                <w:sz w:val="18"/>
                <w:szCs w:val="20"/>
              </w:rPr>
              <w:t>.</w:t>
            </w:r>
          </w:p>
          <w:p w:rsidR="001F2665" w:rsidRPr="008630B0" w:rsidRDefault="001F2665" w:rsidP="001F2665">
            <w:pPr>
              <w:spacing w:after="0"/>
              <w:rPr>
                <w:rFonts w:ascii="Times New Roman" w:eastAsia="Times New Roman" w:hAnsi="Times New Roman" w:cs="Times New Roman"/>
                <w:sz w:val="18"/>
                <w:szCs w:val="20"/>
              </w:rPr>
            </w:pPr>
            <w:r w:rsidRPr="008630B0">
              <w:rPr>
                <w:rFonts w:ascii="Times New Roman" w:eastAsia="Times New Roman" w:hAnsi="Times New Roman" w:cs="Times New Roman"/>
                <w:b w:val="0"/>
                <w:i/>
                <w:sz w:val="18"/>
                <w:szCs w:val="20"/>
                <w:vertAlign w:val="superscript"/>
              </w:rPr>
              <w:t xml:space="preserve">c </w:t>
            </w:r>
            <w:r w:rsidRPr="008630B0">
              <w:rPr>
                <w:rFonts w:ascii="Times New Roman" w:eastAsia="Times New Roman" w:hAnsi="Times New Roman" w:cs="Times New Roman"/>
                <w:b w:val="0"/>
                <w:i/>
                <w:sz w:val="18"/>
                <w:szCs w:val="20"/>
              </w:rPr>
              <w:t>Utility and standard error</w:t>
            </w:r>
          </w:p>
        </w:tc>
      </w:tr>
      <w:bookmarkEnd w:id="7"/>
    </w:tbl>
    <w:p w:rsidR="001F2665" w:rsidRPr="006B7DF9" w:rsidRDefault="001F2665" w:rsidP="001F2665"/>
    <w:p w:rsidR="001F2665" w:rsidRDefault="001F2665">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sz w:val="24"/>
        </w:rPr>
      </w:pPr>
      <w:r>
        <w:rPr>
          <w:rFonts w:ascii="Times New Roman" w:hAnsi="Times New Roman" w:cs="Times New Roman"/>
          <w:sz w:val="24"/>
        </w:rPr>
        <w:br w:type="page"/>
      </w:r>
    </w:p>
    <w:p w:rsidR="001F2665" w:rsidRPr="00A623AF" w:rsidRDefault="001F2665" w:rsidP="001F2665">
      <w:pPr>
        <w:keepNext/>
        <w:spacing w:after="0" w:line="240" w:lineRule="auto"/>
        <w:rPr>
          <w:rFonts w:ascii="Times New Roman" w:hAnsi="Times New Roman" w:cs="Times New Roman"/>
          <w:i/>
          <w:iCs/>
          <w:color w:val="44546A"/>
          <w:sz w:val="18"/>
          <w:szCs w:val="18"/>
        </w:rPr>
      </w:pPr>
      <w:r w:rsidRPr="00A623AF">
        <w:rPr>
          <w:rFonts w:ascii="Times New Roman" w:hAnsi="Times New Roman" w:cs="Times New Roman"/>
          <w:i/>
          <w:iCs/>
          <w:color w:val="44546A"/>
          <w:sz w:val="18"/>
          <w:szCs w:val="18"/>
        </w:rPr>
        <w:lastRenderedPageBreak/>
        <w:t>Table 2. The</w:t>
      </w:r>
      <w:r>
        <w:rPr>
          <w:rFonts w:ascii="Times New Roman" w:hAnsi="Times New Roman" w:cs="Times New Roman"/>
          <w:i/>
          <w:iCs/>
          <w:color w:val="44546A"/>
          <w:sz w:val="18"/>
          <w:szCs w:val="18"/>
        </w:rPr>
        <w:t xml:space="preserve"> discounted</w:t>
      </w:r>
      <w:r w:rsidRPr="00A623AF">
        <w:rPr>
          <w:rFonts w:ascii="Times New Roman" w:hAnsi="Times New Roman" w:cs="Times New Roman"/>
          <w:i/>
          <w:iCs/>
          <w:color w:val="44546A"/>
          <w:sz w:val="18"/>
          <w:szCs w:val="18"/>
        </w:rPr>
        <w:t xml:space="preserve"> net costs in Euros, </w:t>
      </w:r>
      <w:r>
        <w:rPr>
          <w:rFonts w:ascii="Times New Roman" w:hAnsi="Times New Roman" w:cs="Times New Roman"/>
          <w:i/>
          <w:iCs/>
          <w:color w:val="44546A"/>
          <w:sz w:val="18"/>
          <w:szCs w:val="18"/>
        </w:rPr>
        <w:t xml:space="preserve">LYG, </w:t>
      </w:r>
      <w:r w:rsidRPr="00A623AF">
        <w:rPr>
          <w:rFonts w:ascii="Times New Roman" w:hAnsi="Times New Roman" w:cs="Times New Roman"/>
          <w:i/>
          <w:iCs/>
          <w:color w:val="44546A"/>
          <w:sz w:val="18"/>
          <w:szCs w:val="18"/>
        </w:rPr>
        <w:t>DALYs averted and QALYs gai</w:t>
      </w:r>
      <w:r>
        <w:rPr>
          <w:rFonts w:ascii="Times New Roman" w:hAnsi="Times New Roman" w:cs="Times New Roman"/>
          <w:i/>
          <w:iCs/>
          <w:color w:val="44546A"/>
          <w:sz w:val="18"/>
          <w:szCs w:val="18"/>
        </w:rPr>
        <w:t>ned per 1000 women per strategy</w:t>
      </w:r>
    </w:p>
    <w:tbl>
      <w:tblPr>
        <w:tblStyle w:val="GridTable1Light-Accent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7"/>
        <w:gridCol w:w="2666"/>
        <w:gridCol w:w="820"/>
        <w:gridCol w:w="1747"/>
        <w:gridCol w:w="1686"/>
      </w:tblGrid>
      <w:tr w:rsidR="001F2665" w:rsidRPr="00647369" w:rsidTr="00323CE7">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ED7D31" w:themeColor="accent2"/>
              <w:bottom w:val="single" w:sz="12" w:space="0" w:color="ED7D31" w:themeColor="accent2"/>
            </w:tcBorders>
            <w:vAlign w:val="center"/>
          </w:tcPr>
          <w:p w:rsidR="001F2665" w:rsidRPr="00A623AF" w:rsidRDefault="001F2665" w:rsidP="001F2665">
            <w:pPr>
              <w:spacing w:after="0"/>
              <w:jc w:val="center"/>
              <w:rPr>
                <w:rFonts w:ascii="Times New Roman" w:hAnsi="Times New Roman" w:cs="Times New Roman"/>
                <w:vertAlign w:val="superscript"/>
              </w:rPr>
            </w:pPr>
            <w:r w:rsidRPr="00A623AF">
              <w:rPr>
                <w:rFonts w:ascii="Times New Roman" w:hAnsi="Times New Roman" w:cs="Times New Roman"/>
              </w:rPr>
              <w:t xml:space="preserve">Screening </w:t>
            </w:r>
            <w:proofErr w:type="spellStart"/>
            <w:r w:rsidRPr="00A623AF">
              <w:rPr>
                <w:rFonts w:ascii="Times New Roman" w:hAnsi="Times New Roman" w:cs="Times New Roman"/>
              </w:rPr>
              <w:t>strategy</w:t>
            </w:r>
            <w:r w:rsidRPr="00A623AF">
              <w:rPr>
                <w:rFonts w:ascii="Times New Roman" w:hAnsi="Times New Roman" w:cs="Times New Roman"/>
                <w:vertAlign w:val="superscript"/>
              </w:rPr>
              <w:t>a</w:t>
            </w:r>
            <w:proofErr w:type="spellEnd"/>
          </w:p>
        </w:tc>
        <w:tc>
          <w:tcPr>
            <w:tcW w:w="0" w:type="auto"/>
            <w:tcBorders>
              <w:top w:val="single" w:sz="12" w:space="0" w:color="ED7D31" w:themeColor="accent2"/>
              <w:bottom w:val="single" w:sz="12" w:space="0" w:color="ED7D31" w:themeColor="accent2"/>
            </w:tcBorders>
            <w:vAlign w:val="center"/>
          </w:tcPr>
          <w:p w:rsidR="001F2665" w:rsidRPr="004369AB" w:rsidRDefault="001F2665" w:rsidP="001F2665">
            <w:pPr>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A623AF">
              <w:rPr>
                <w:rFonts w:ascii="Times New Roman" w:hAnsi="Times New Roman" w:cs="Times New Roman"/>
              </w:rPr>
              <w:t xml:space="preserve">Net costs per </w:t>
            </w:r>
            <w:r w:rsidRPr="00A623AF">
              <w:rPr>
                <w:rFonts w:ascii="Times New Roman" w:hAnsi="Times New Roman" w:cs="Times New Roman"/>
                <w:noProof/>
              </w:rPr>
              <w:t>strategy</w:t>
            </w:r>
            <w:r>
              <w:rPr>
                <w:rFonts w:ascii="Times New Roman" w:hAnsi="Times New Roman" w:cs="Times New Roman"/>
                <w:noProof/>
                <w:vertAlign w:val="superscript"/>
              </w:rPr>
              <w:t>b</w:t>
            </w:r>
          </w:p>
        </w:tc>
        <w:tc>
          <w:tcPr>
            <w:tcW w:w="0" w:type="auto"/>
            <w:tcBorders>
              <w:top w:val="single" w:sz="12" w:space="0" w:color="ED7D31" w:themeColor="accent2"/>
              <w:bottom w:val="single" w:sz="12" w:space="0" w:color="ED7D31" w:themeColor="accent2"/>
            </w:tcBorders>
          </w:tcPr>
          <w:p w:rsidR="001F2665" w:rsidRPr="00A623AF" w:rsidRDefault="001F2665" w:rsidP="001F2665">
            <w:pPr>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LYG</w:t>
            </w:r>
          </w:p>
        </w:tc>
        <w:tc>
          <w:tcPr>
            <w:tcW w:w="0" w:type="auto"/>
            <w:tcBorders>
              <w:top w:val="single" w:sz="12" w:space="0" w:color="ED7D31" w:themeColor="accent2"/>
              <w:bottom w:val="single" w:sz="12" w:space="0" w:color="ED7D31" w:themeColor="accent2"/>
            </w:tcBorders>
            <w:vAlign w:val="center"/>
          </w:tcPr>
          <w:p w:rsidR="001F2665" w:rsidRPr="00A623AF" w:rsidRDefault="001F2665" w:rsidP="001F2665">
            <w:pPr>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A623AF">
              <w:rPr>
                <w:rFonts w:ascii="Times New Roman" w:hAnsi="Times New Roman" w:cs="Times New Roman"/>
              </w:rPr>
              <w:t xml:space="preserve">DALYs </w:t>
            </w:r>
            <w:r w:rsidRPr="00A623AF">
              <w:rPr>
                <w:rFonts w:ascii="Times New Roman" w:hAnsi="Times New Roman" w:cs="Times New Roman"/>
                <w:noProof/>
              </w:rPr>
              <w:t>averted</w:t>
            </w:r>
          </w:p>
        </w:tc>
        <w:tc>
          <w:tcPr>
            <w:tcW w:w="0" w:type="auto"/>
            <w:tcBorders>
              <w:top w:val="single" w:sz="12" w:space="0" w:color="ED7D31" w:themeColor="accent2"/>
              <w:bottom w:val="single" w:sz="12" w:space="0" w:color="ED7D31" w:themeColor="accent2"/>
            </w:tcBorders>
            <w:vAlign w:val="center"/>
          </w:tcPr>
          <w:p w:rsidR="001F2665" w:rsidRPr="00A623AF" w:rsidRDefault="001F2665" w:rsidP="001F2665">
            <w:pPr>
              <w:tabs>
                <w:tab w:val="left" w:pos="660"/>
              </w:tabs>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A623AF">
              <w:rPr>
                <w:rFonts w:ascii="Times New Roman" w:hAnsi="Times New Roman" w:cs="Times New Roman"/>
              </w:rPr>
              <w:t xml:space="preserve">QALYs </w:t>
            </w:r>
            <w:r w:rsidRPr="00A623AF">
              <w:rPr>
                <w:rFonts w:ascii="Times New Roman" w:hAnsi="Times New Roman" w:cs="Times New Roman"/>
                <w:noProof/>
              </w:rPr>
              <w:t>gained</w:t>
            </w:r>
          </w:p>
        </w:tc>
      </w:tr>
      <w:tr w:rsidR="001F2665" w:rsidRPr="00BE0B99" w:rsidTr="00323CE7">
        <w:trPr>
          <w:trHeight w:val="227"/>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ED7D31" w:themeColor="accent2"/>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No screening</w:t>
            </w:r>
          </w:p>
        </w:tc>
        <w:tc>
          <w:tcPr>
            <w:tcW w:w="0" w:type="auto"/>
            <w:tcBorders>
              <w:top w:val="single" w:sz="12" w:space="0" w:color="ED7D31" w:themeColor="accent2"/>
              <w:bottom w:val="single" w:sz="4" w:space="0" w:color="F7CAAC" w:themeColor="accent2" w:themeTint="66"/>
            </w:tcBorders>
            <w:shd w:val="clear" w:color="auto" w:fill="FBE4D5" w:themeFill="accent2" w:themeFillTint="33"/>
            <w:vAlign w:val="center"/>
          </w:tcPr>
          <w:p w:rsidR="001F2665" w:rsidRPr="00BE0B99"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lang w:val="en-GB"/>
              </w:rPr>
            </w:pPr>
            <w:r w:rsidRPr="00BE0B99">
              <w:rPr>
                <w:rFonts w:ascii="Times New Roman" w:hAnsi="Times New Roman" w:cs="Times New Roman"/>
                <w:i/>
                <w:lang w:val="en-GB"/>
              </w:rPr>
              <w:t>Ref.</w:t>
            </w:r>
            <w:r>
              <w:rPr>
                <w:rFonts w:ascii="Times New Roman" w:hAnsi="Times New Roman" w:cs="Times New Roman"/>
                <w:i/>
                <w:lang w:val="en-GB"/>
              </w:rPr>
              <w:t xml:space="preserve"> (Total cost: 1,201,486)</w:t>
            </w:r>
          </w:p>
        </w:tc>
        <w:tc>
          <w:tcPr>
            <w:tcW w:w="0" w:type="auto"/>
            <w:tcBorders>
              <w:top w:val="single" w:sz="12" w:space="0" w:color="ED7D31" w:themeColor="accent2"/>
              <w:bottom w:val="single" w:sz="4" w:space="0" w:color="F7CAAC" w:themeColor="accent2" w:themeTint="66"/>
            </w:tcBorders>
            <w:shd w:val="clear" w:color="auto" w:fill="FBE4D5" w:themeFill="accent2" w:themeFillTint="33"/>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i/>
              </w:rPr>
              <w:t>Ref</w:t>
            </w:r>
            <w:r w:rsidRPr="00D74444">
              <w:rPr>
                <w:rFonts w:ascii="Times New Roman" w:hAnsi="Times New Roman" w:cs="Times New Roman"/>
              </w:rPr>
              <w:t>.</w:t>
            </w:r>
          </w:p>
        </w:tc>
        <w:tc>
          <w:tcPr>
            <w:tcW w:w="0" w:type="auto"/>
            <w:tcBorders>
              <w:top w:val="single" w:sz="12" w:space="0" w:color="ED7D31" w:themeColor="accent2"/>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r w:rsidRPr="00FF6A74">
              <w:rPr>
                <w:rFonts w:ascii="Times New Roman" w:hAnsi="Times New Roman" w:cs="Times New Roman"/>
                <w:i/>
              </w:rPr>
              <w:t>Ref.</w:t>
            </w:r>
          </w:p>
        </w:tc>
        <w:tc>
          <w:tcPr>
            <w:tcW w:w="0" w:type="auto"/>
            <w:tcBorders>
              <w:top w:val="single" w:sz="12" w:space="0" w:color="ED7D31" w:themeColor="accent2"/>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r w:rsidRPr="00FF6A74">
              <w:rPr>
                <w:rFonts w:ascii="Times New Roman" w:hAnsi="Times New Roman" w:cs="Times New Roman"/>
                <w:i/>
              </w:rPr>
              <w:t>Ref.</w:t>
            </w:r>
          </w:p>
        </w:tc>
      </w:tr>
      <w:tr w:rsidR="001F2665" w:rsidRPr="00BE0B99"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T50-69</w:t>
            </w:r>
          </w:p>
        </w:tc>
        <w:tc>
          <w:tcPr>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56,217</w:t>
            </w:r>
          </w:p>
        </w:tc>
        <w:tc>
          <w:tcPr>
            <w:tcW w:w="0" w:type="auto"/>
            <w:tcBorders>
              <w:top w:val="single" w:sz="4" w:space="0" w:color="F7CAAC" w:themeColor="accent2" w:themeTint="66"/>
              <w:bottom w:val="single" w:sz="4" w:space="0" w:color="F7CAAC" w:themeColor="accent2" w:themeTint="66"/>
            </w:tcBorders>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36.7</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46.00</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28.69</w:t>
            </w:r>
          </w:p>
        </w:tc>
      </w:tr>
      <w:tr w:rsidR="001F2665" w:rsidRPr="00BE0B99"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T50-74</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64,326</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40.1</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49.68</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30.48</w:t>
            </w:r>
          </w:p>
        </w:tc>
      </w:tr>
      <w:tr w:rsidR="001F2665" w:rsidRPr="00BE0B99"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T45-69</w:t>
            </w:r>
          </w:p>
        </w:tc>
        <w:tc>
          <w:tcPr>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111,203</w:t>
            </w:r>
          </w:p>
        </w:tc>
        <w:tc>
          <w:tcPr>
            <w:tcW w:w="0" w:type="auto"/>
            <w:tcBorders>
              <w:top w:val="single" w:sz="4" w:space="0" w:color="F7CAAC" w:themeColor="accent2" w:themeTint="66"/>
              <w:bottom w:val="single" w:sz="4" w:space="0" w:color="F7CAAC" w:themeColor="accent2" w:themeTint="66"/>
            </w:tcBorders>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46.9</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61.79</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37.69</w:t>
            </w:r>
          </w:p>
        </w:tc>
      </w:tr>
      <w:tr w:rsidR="001F2665" w:rsidRPr="00BE0B99"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B50-69</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118,112</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46.9</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58.30</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36.60</w:t>
            </w:r>
          </w:p>
        </w:tc>
      </w:tr>
      <w:tr w:rsidR="001F2665" w:rsidRPr="00BE0B99"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T45-74</w:t>
            </w:r>
          </w:p>
        </w:tc>
        <w:tc>
          <w:tcPr>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119,276</w:t>
            </w:r>
          </w:p>
        </w:tc>
        <w:tc>
          <w:tcPr>
            <w:tcW w:w="0" w:type="auto"/>
            <w:tcBorders>
              <w:top w:val="single" w:sz="4" w:space="0" w:color="F7CAAC" w:themeColor="accent2" w:themeTint="66"/>
              <w:bottom w:val="single" w:sz="4" w:space="0" w:color="F7CAAC" w:themeColor="accent2" w:themeTint="66"/>
            </w:tcBorders>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50.3</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65.45</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39.50</w:t>
            </w:r>
          </w:p>
        </w:tc>
      </w:tr>
      <w:tr w:rsidR="001F2665" w:rsidRPr="00BE0B99"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double" w:sz="6" w:space="0" w:color="ED7D31" w:themeColor="accent2"/>
            </w:tcBorders>
            <w:shd w:val="clear" w:color="auto" w:fill="FBE4D5" w:themeFill="accent2" w:themeFillTint="33"/>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B50-72</w:t>
            </w:r>
          </w:p>
        </w:tc>
        <w:tc>
          <w:tcPr>
            <w:tcW w:w="0" w:type="auto"/>
            <w:tcBorders>
              <w:top w:val="single" w:sz="4" w:space="0" w:color="F7CAAC" w:themeColor="accent2" w:themeTint="66"/>
              <w:bottom w:val="double" w:sz="6" w:space="0" w:color="ED7D31" w:themeColor="accent2"/>
            </w:tcBorders>
            <w:shd w:val="clear" w:color="auto" w:fill="FBE4D5" w:themeFill="accent2" w:themeFillTint="33"/>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129,089</w:t>
            </w:r>
          </w:p>
        </w:tc>
        <w:tc>
          <w:tcPr>
            <w:tcW w:w="0" w:type="auto"/>
            <w:tcBorders>
              <w:top w:val="single" w:sz="4" w:space="0" w:color="F7CAAC" w:themeColor="accent2" w:themeTint="66"/>
              <w:bottom w:val="double" w:sz="6" w:space="0" w:color="ED7D31" w:themeColor="accent2"/>
            </w:tcBorders>
            <w:shd w:val="clear" w:color="auto" w:fill="FBE4D5" w:themeFill="accent2" w:themeFillTint="33"/>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49.8</w:t>
            </w:r>
            <w:r>
              <w:rPr>
                <w:rFonts w:ascii="Times New Roman" w:hAnsi="Times New Roman" w:cs="Times New Roman"/>
              </w:rPr>
              <w:t>0</w:t>
            </w:r>
          </w:p>
        </w:tc>
        <w:tc>
          <w:tcPr>
            <w:tcW w:w="0" w:type="auto"/>
            <w:tcBorders>
              <w:top w:val="single" w:sz="4" w:space="0" w:color="F7CAAC" w:themeColor="accent2" w:themeTint="66"/>
              <w:bottom w:val="double" w:sz="6" w:space="0" w:color="ED7D31" w:themeColor="accent2"/>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61.40</w:t>
            </w:r>
          </w:p>
        </w:tc>
        <w:tc>
          <w:tcPr>
            <w:tcW w:w="0" w:type="auto"/>
            <w:tcBorders>
              <w:top w:val="single" w:sz="4" w:space="0" w:color="F7CAAC" w:themeColor="accent2" w:themeTint="66"/>
              <w:bottom w:val="double" w:sz="6" w:space="0" w:color="ED7D31" w:themeColor="accent2"/>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38.19</w:t>
            </w:r>
          </w:p>
        </w:tc>
      </w:tr>
      <w:tr w:rsidR="001F2665" w:rsidRPr="00BE0B99"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double" w:sz="6" w:space="0" w:color="ED7D31" w:themeColor="accent2"/>
              <w:left w:val="double" w:sz="6" w:space="0" w:color="ED7D31" w:themeColor="accent2"/>
              <w:bottom w:val="double" w:sz="6" w:space="0" w:color="ED7D31" w:themeColor="accent2"/>
            </w:tcBorders>
            <w:vAlign w:val="center"/>
          </w:tcPr>
          <w:p w:rsidR="001F2665" w:rsidRPr="004369AB" w:rsidRDefault="001F2665" w:rsidP="001F2665">
            <w:pPr>
              <w:spacing w:after="0"/>
              <w:rPr>
                <w:rFonts w:ascii="Times New Roman" w:hAnsi="Times New Roman" w:cs="Times New Roman"/>
                <w:vertAlign w:val="superscript"/>
              </w:rPr>
            </w:pPr>
            <w:r w:rsidRPr="00FF6A74">
              <w:rPr>
                <w:rFonts w:ascii="Times New Roman" w:hAnsi="Times New Roman" w:cs="Times New Roman"/>
              </w:rPr>
              <w:t>B50-74</w:t>
            </w:r>
            <w:r>
              <w:rPr>
                <w:rFonts w:ascii="Times New Roman" w:hAnsi="Times New Roman" w:cs="Times New Roman"/>
                <w:vertAlign w:val="superscript"/>
              </w:rPr>
              <w:t>c</w:t>
            </w:r>
          </w:p>
        </w:tc>
        <w:tc>
          <w:tcPr>
            <w:tcW w:w="0" w:type="auto"/>
            <w:tcBorders>
              <w:top w:val="double" w:sz="6" w:space="0" w:color="ED7D31" w:themeColor="accent2"/>
              <w:bottom w:val="double" w:sz="6" w:space="0" w:color="ED7D31" w:themeColor="accent2"/>
            </w:tcBorders>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140,301</w:t>
            </w:r>
          </w:p>
        </w:tc>
        <w:tc>
          <w:tcPr>
            <w:tcW w:w="0" w:type="auto"/>
            <w:tcBorders>
              <w:top w:val="double" w:sz="6" w:space="0" w:color="ED7D31" w:themeColor="accent2"/>
              <w:bottom w:val="double" w:sz="6" w:space="0" w:color="ED7D31" w:themeColor="accent2"/>
            </w:tcBorders>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51.7</w:t>
            </w:r>
            <w:r>
              <w:rPr>
                <w:rFonts w:ascii="Times New Roman" w:hAnsi="Times New Roman" w:cs="Times New Roman"/>
              </w:rPr>
              <w:t>0</w:t>
            </w:r>
          </w:p>
        </w:tc>
        <w:tc>
          <w:tcPr>
            <w:tcW w:w="0" w:type="auto"/>
            <w:tcBorders>
              <w:top w:val="double" w:sz="6" w:space="0" w:color="ED7D31" w:themeColor="accent2"/>
              <w:bottom w:val="double" w:sz="6" w:space="0" w:color="ED7D31" w:themeColor="accent2"/>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63.44</w:t>
            </w:r>
          </w:p>
        </w:tc>
        <w:tc>
          <w:tcPr>
            <w:tcW w:w="0" w:type="auto"/>
            <w:tcBorders>
              <w:top w:val="double" w:sz="6" w:space="0" w:color="ED7D31" w:themeColor="accent2"/>
              <w:bottom w:val="double" w:sz="6" w:space="0" w:color="ED7D31" w:themeColor="accent2"/>
              <w:right w:val="double" w:sz="6" w:space="0" w:color="ED7D31" w:themeColor="accent2"/>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39.00</w:t>
            </w:r>
          </w:p>
        </w:tc>
      </w:tr>
      <w:tr w:rsidR="001F2665" w:rsidRPr="00BE0B99"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double" w:sz="6" w:space="0" w:color="ED7D31" w:themeColor="accent2"/>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B47-69</w:t>
            </w:r>
          </w:p>
        </w:tc>
        <w:tc>
          <w:tcPr>
            <w:tcW w:w="0" w:type="auto"/>
            <w:tcBorders>
              <w:top w:val="double" w:sz="6" w:space="0" w:color="ED7D31" w:themeColor="accent2"/>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158,257</w:t>
            </w:r>
          </w:p>
        </w:tc>
        <w:tc>
          <w:tcPr>
            <w:tcW w:w="0" w:type="auto"/>
            <w:tcBorders>
              <w:top w:val="double" w:sz="6" w:space="0" w:color="ED7D31" w:themeColor="accent2"/>
              <w:bottom w:val="single" w:sz="4" w:space="0" w:color="F7CAAC" w:themeColor="accent2" w:themeTint="66"/>
            </w:tcBorders>
            <w:shd w:val="clear" w:color="auto" w:fill="FBE4D5" w:themeFill="accent2" w:themeFillTint="33"/>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53.8</w:t>
            </w:r>
            <w:r>
              <w:rPr>
                <w:rFonts w:ascii="Times New Roman" w:hAnsi="Times New Roman" w:cs="Times New Roman"/>
              </w:rPr>
              <w:t>0</w:t>
            </w:r>
          </w:p>
        </w:tc>
        <w:tc>
          <w:tcPr>
            <w:tcW w:w="0" w:type="auto"/>
            <w:tcBorders>
              <w:top w:val="double" w:sz="6" w:space="0" w:color="ED7D31" w:themeColor="accent2"/>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68.77</w:t>
            </w:r>
          </w:p>
        </w:tc>
        <w:tc>
          <w:tcPr>
            <w:tcW w:w="0" w:type="auto"/>
            <w:tcBorders>
              <w:top w:val="double" w:sz="6" w:space="0" w:color="ED7D31" w:themeColor="accent2"/>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42.68</w:t>
            </w:r>
          </w:p>
        </w:tc>
      </w:tr>
      <w:tr w:rsidR="001F2665" w:rsidRPr="00BE0B99"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B47-72</w:t>
            </w:r>
          </w:p>
        </w:tc>
        <w:tc>
          <w:tcPr>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169,153</w:t>
            </w:r>
          </w:p>
        </w:tc>
        <w:tc>
          <w:tcPr>
            <w:tcW w:w="0" w:type="auto"/>
            <w:tcBorders>
              <w:top w:val="single" w:sz="4" w:space="0" w:color="F7CAAC" w:themeColor="accent2" w:themeTint="66"/>
              <w:bottom w:val="single" w:sz="4" w:space="0" w:color="F7CAAC" w:themeColor="accent2" w:themeTint="66"/>
            </w:tcBorders>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56.7</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71.84</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44.24</w:t>
            </w:r>
          </w:p>
        </w:tc>
      </w:tr>
      <w:tr w:rsidR="001F2665" w:rsidRPr="00BE0B99"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B47-74</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176,803</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58.1</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73.28</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44.91</w:t>
            </w:r>
          </w:p>
        </w:tc>
      </w:tr>
      <w:tr w:rsidR="001F2665" w:rsidRPr="00BE0B99"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B45-69</w:t>
            </w:r>
          </w:p>
        </w:tc>
        <w:tc>
          <w:tcPr>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190,112</w:t>
            </w:r>
          </w:p>
        </w:tc>
        <w:tc>
          <w:tcPr>
            <w:tcW w:w="0" w:type="auto"/>
            <w:tcBorders>
              <w:top w:val="single" w:sz="4" w:space="0" w:color="F7CAAC" w:themeColor="accent2" w:themeTint="66"/>
              <w:bottom w:val="single" w:sz="4" w:space="0" w:color="F7CAAC" w:themeColor="accent2" w:themeTint="66"/>
            </w:tcBorders>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57.8</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75.32</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46.20</w:t>
            </w:r>
          </w:p>
        </w:tc>
      </w:tr>
      <w:tr w:rsidR="001F2665" w:rsidRPr="00A623AF"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B45-72</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200,995</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60.8</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78.40</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47.87</w:t>
            </w:r>
          </w:p>
        </w:tc>
      </w:tr>
      <w:tr w:rsidR="001F2665" w:rsidRPr="00A623AF"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B45-74</w:t>
            </w:r>
          </w:p>
        </w:tc>
        <w:tc>
          <w:tcPr>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208,447</w:t>
            </w:r>
          </w:p>
        </w:tc>
        <w:tc>
          <w:tcPr>
            <w:tcW w:w="0" w:type="auto"/>
            <w:tcBorders>
              <w:top w:val="single" w:sz="4" w:space="0" w:color="F7CAAC" w:themeColor="accent2" w:themeTint="66"/>
              <w:bottom w:val="single" w:sz="4" w:space="0" w:color="F7CAAC" w:themeColor="accent2" w:themeTint="66"/>
            </w:tcBorders>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62.2</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79.88</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48.52</w:t>
            </w:r>
          </w:p>
        </w:tc>
      </w:tr>
      <w:tr w:rsidR="001F2665" w:rsidRPr="00A623AF"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A47-50_B50-69</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212,050</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57.3</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74.23</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45.79</w:t>
            </w:r>
          </w:p>
        </w:tc>
      </w:tr>
      <w:tr w:rsidR="001F2665" w:rsidRPr="00A623AF"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A47-50_B50-72</w:t>
            </w:r>
          </w:p>
        </w:tc>
        <w:tc>
          <w:tcPr>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226,701</w:t>
            </w:r>
          </w:p>
        </w:tc>
        <w:tc>
          <w:tcPr>
            <w:tcW w:w="0" w:type="auto"/>
            <w:tcBorders>
              <w:top w:val="single" w:sz="4" w:space="0" w:color="F7CAAC" w:themeColor="accent2" w:themeTint="66"/>
              <w:bottom w:val="single" w:sz="4" w:space="0" w:color="F7CAAC" w:themeColor="accent2" w:themeTint="66"/>
            </w:tcBorders>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61.2</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78.34</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47.91</w:t>
            </w:r>
          </w:p>
        </w:tc>
      </w:tr>
      <w:tr w:rsidR="001F2665" w:rsidRPr="00A623AF"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A47-50_B50-74</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234,261</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62.4</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79.69</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48.39</w:t>
            </w:r>
          </w:p>
        </w:tc>
      </w:tr>
      <w:tr w:rsidR="001F2665" w:rsidRPr="00A623AF"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A45-50_B50-69</w:t>
            </w:r>
          </w:p>
        </w:tc>
        <w:tc>
          <w:tcPr>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262,407</w:t>
            </w:r>
          </w:p>
        </w:tc>
        <w:tc>
          <w:tcPr>
            <w:tcW w:w="0" w:type="auto"/>
            <w:tcBorders>
              <w:top w:val="single" w:sz="4" w:space="0" w:color="F7CAAC" w:themeColor="accent2" w:themeTint="66"/>
              <w:bottom w:val="single" w:sz="4" w:space="0" w:color="F7CAAC" w:themeColor="accent2" w:themeTint="66"/>
            </w:tcBorders>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62</w:t>
            </w:r>
            <w:r>
              <w:rPr>
                <w:rFonts w:ascii="Times New Roman" w:hAnsi="Times New Roman" w:cs="Times New Roman"/>
              </w:rPr>
              <w:t>.00</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81.53</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49.84</w:t>
            </w:r>
          </w:p>
        </w:tc>
      </w:tr>
      <w:tr w:rsidR="001F2665" w:rsidRPr="00A623AF"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A45-50_B50-72</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277,127</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65.9</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85.63</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51.98</w:t>
            </w:r>
          </w:p>
        </w:tc>
      </w:tr>
      <w:tr w:rsidR="001F2665" w:rsidRPr="00A623AF"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A45-50_B50-74</w:t>
            </w:r>
          </w:p>
        </w:tc>
        <w:tc>
          <w:tcPr>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284,729</w:t>
            </w:r>
          </w:p>
        </w:tc>
        <w:tc>
          <w:tcPr>
            <w:tcW w:w="0" w:type="auto"/>
            <w:tcBorders>
              <w:top w:val="single" w:sz="4" w:space="0" w:color="F7CAAC" w:themeColor="accent2" w:themeTint="66"/>
              <w:bottom w:val="single" w:sz="4" w:space="0" w:color="F7CAAC" w:themeColor="accent2" w:themeTint="66"/>
            </w:tcBorders>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67.1</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86.97</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52.46</w:t>
            </w:r>
          </w:p>
        </w:tc>
      </w:tr>
      <w:tr w:rsidR="001F2665" w:rsidRPr="00A623AF"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A50-69</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323,346</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63</w:t>
            </w:r>
            <w:r>
              <w:rPr>
                <w:rFonts w:ascii="Times New Roman" w:hAnsi="Times New Roman" w:cs="Times New Roman"/>
              </w:rPr>
              <w:t>.00</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76.92</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48.59</w:t>
            </w:r>
          </w:p>
        </w:tc>
      </w:tr>
      <w:tr w:rsidR="001F2665" w:rsidRPr="00A623AF"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A50-74</w:t>
            </w:r>
          </w:p>
        </w:tc>
        <w:tc>
          <w:tcPr>
            <w:tcW w:w="0" w:type="auto"/>
            <w:tcBorders>
              <w:top w:val="single" w:sz="4" w:space="0" w:color="F7CAAC" w:themeColor="accent2" w:themeTint="66"/>
              <w:bottom w:val="single" w:sz="4" w:space="0" w:color="F7CAAC" w:themeColor="accent2" w:themeTint="66"/>
            </w:tcBorders>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349,540</w:t>
            </w:r>
          </w:p>
        </w:tc>
        <w:tc>
          <w:tcPr>
            <w:tcW w:w="0" w:type="auto"/>
            <w:tcBorders>
              <w:top w:val="single" w:sz="4" w:space="0" w:color="F7CAAC" w:themeColor="accent2" w:themeTint="66"/>
              <w:bottom w:val="single" w:sz="4" w:space="0" w:color="F7CAAC" w:themeColor="accent2" w:themeTint="66"/>
            </w:tcBorders>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67.5</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81.58</w:t>
            </w:r>
          </w:p>
        </w:tc>
        <w:tc>
          <w:tcPr>
            <w:tcW w:w="0" w:type="auto"/>
            <w:tcBorders>
              <w:top w:val="single" w:sz="4" w:space="0" w:color="F7CAAC" w:themeColor="accent2" w:themeTint="66"/>
              <w:bottom w:val="single" w:sz="4" w:space="0" w:color="F7CAAC" w:themeColor="accent2" w:themeTint="66"/>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50.92</w:t>
            </w:r>
          </w:p>
        </w:tc>
      </w:tr>
      <w:tr w:rsidR="001F2665" w:rsidRPr="00A623AF"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A45-69</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456,493</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78.4</w:t>
            </w:r>
            <w:r>
              <w:rPr>
                <w:rFonts w:ascii="Times New Roman" w:hAnsi="Times New Roman" w:cs="Times New Roman"/>
              </w:rPr>
              <w:t>0</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100.94</w:t>
            </w:r>
          </w:p>
        </w:tc>
        <w:tc>
          <w:tcPr>
            <w:tcW w:w="0" w:type="auto"/>
            <w:tcBorders>
              <w:top w:val="single" w:sz="4" w:space="0" w:color="F7CAAC" w:themeColor="accent2" w:themeTint="66"/>
              <w:bottom w:val="single" w:sz="4" w:space="0" w:color="F7CAAC" w:themeColor="accent2" w:themeTint="66"/>
            </w:tcBorders>
            <w:shd w:val="clear" w:color="auto" w:fill="FBE4D5" w:themeFill="accent2" w:themeFillTint="33"/>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62.02</w:t>
            </w:r>
          </w:p>
        </w:tc>
      </w:tr>
      <w:tr w:rsidR="001F2665" w:rsidRPr="00A623AF" w:rsidTr="00323CE7">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F7CAAC" w:themeColor="accent2" w:themeTint="66"/>
              <w:bottom w:val="single" w:sz="12" w:space="0" w:color="ED7D31" w:themeColor="accent2"/>
            </w:tcBorders>
            <w:vAlign w:val="center"/>
          </w:tcPr>
          <w:p w:rsidR="001F2665" w:rsidRPr="00FF6A74" w:rsidRDefault="001F2665" w:rsidP="001F2665">
            <w:pPr>
              <w:spacing w:after="0"/>
              <w:rPr>
                <w:rFonts w:ascii="Times New Roman" w:hAnsi="Times New Roman" w:cs="Times New Roman"/>
              </w:rPr>
            </w:pPr>
            <w:r w:rsidRPr="00FF6A74">
              <w:rPr>
                <w:rFonts w:ascii="Times New Roman" w:hAnsi="Times New Roman" w:cs="Times New Roman"/>
              </w:rPr>
              <w:t>A45-74</w:t>
            </w:r>
          </w:p>
        </w:tc>
        <w:tc>
          <w:tcPr>
            <w:tcW w:w="0" w:type="auto"/>
            <w:tcBorders>
              <w:top w:val="single" w:sz="4" w:space="0" w:color="F7CAAC" w:themeColor="accent2" w:themeTint="66"/>
              <w:bottom w:val="single" w:sz="12" w:space="0" w:color="ED7D31" w:themeColor="accent2"/>
            </w:tcBorders>
            <w:vAlign w:val="center"/>
          </w:tcPr>
          <w:p w:rsidR="001F2665" w:rsidRPr="00FF6A7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462,471</w:t>
            </w:r>
          </w:p>
        </w:tc>
        <w:tc>
          <w:tcPr>
            <w:tcW w:w="0" w:type="auto"/>
            <w:tcBorders>
              <w:top w:val="single" w:sz="4" w:space="0" w:color="F7CAAC" w:themeColor="accent2" w:themeTint="66"/>
              <w:bottom w:val="single" w:sz="12" w:space="0" w:color="ED7D31" w:themeColor="accent2"/>
            </w:tcBorders>
            <w:vAlign w:val="bottom"/>
          </w:tcPr>
          <w:p w:rsidR="001F2665" w:rsidRPr="00D7444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74444">
              <w:rPr>
                <w:rFonts w:ascii="Times New Roman" w:hAnsi="Times New Roman" w:cs="Times New Roman"/>
              </w:rPr>
              <w:t>83</w:t>
            </w:r>
            <w:r>
              <w:rPr>
                <w:rFonts w:ascii="Times New Roman" w:hAnsi="Times New Roman" w:cs="Times New Roman"/>
              </w:rPr>
              <w:t>.00</w:t>
            </w:r>
          </w:p>
        </w:tc>
        <w:tc>
          <w:tcPr>
            <w:tcW w:w="0" w:type="auto"/>
            <w:tcBorders>
              <w:top w:val="single" w:sz="4" w:space="0" w:color="F7CAAC" w:themeColor="accent2" w:themeTint="66"/>
              <w:bottom w:val="single" w:sz="12" w:space="0" w:color="ED7D31" w:themeColor="accent2"/>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105.58</w:t>
            </w:r>
          </w:p>
        </w:tc>
        <w:tc>
          <w:tcPr>
            <w:tcW w:w="0" w:type="auto"/>
            <w:tcBorders>
              <w:top w:val="single" w:sz="4" w:space="0" w:color="F7CAAC" w:themeColor="accent2" w:themeTint="66"/>
              <w:bottom w:val="single" w:sz="12" w:space="0" w:color="ED7D31" w:themeColor="accent2"/>
            </w:tcBorders>
            <w:vAlign w:val="center"/>
          </w:tcPr>
          <w:p w:rsidR="001F2665" w:rsidRPr="00E675F4"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64.50</w:t>
            </w:r>
          </w:p>
        </w:tc>
      </w:tr>
      <w:tr w:rsidR="001F2665" w:rsidRPr="003164EC" w:rsidTr="00323CE7">
        <w:trPr>
          <w:trHeight w:val="20"/>
        </w:trPr>
        <w:tc>
          <w:tcPr>
            <w:cnfStyle w:val="001000000000" w:firstRow="0" w:lastRow="0" w:firstColumn="1" w:lastColumn="0" w:oddVBand="0" w:evenVBand="0" w:oddHBand="0" w:evenHBand="0" w:firstRowFirstColumn="0" w:firstRowLastColumn="0" w:lastRowFirstColumn="0" w:lastRowLastColumn="0"/>
            <w:tcW w:w="10499" w:type="dxa"/>
            <w:gridSpan w:val="5"/>
            <w:tcBorders>
              <w:bottom w:val="nil"/>
            </w:tcBorders>
          </w:tcPr>
          <w:p w:rsidR="001F2665" w:rsidRPr="003164EC" w:rsidRDefault="001F2665" w:rsidP="001F2665">
            <w:pPr>
              <w:spacing w:after="0"/>
              <w:rPr>
                <w:rFonts w:ascii="Times New Roman" w:eastAsia="Times New Roman" w:hAnsi="Times New Roman" w:cs="Times New Roman"/>
                <w:b w:val="0"/>
                <w:bCs w:val="0"/>
                <w:i/>
                <w:sz w:val="18"/>
                <w:szCs w:val="20"/>
              </w:rPr>
            </w:pPr>
            <w:r w:rsidRPr="003164EC">
              <w:rPr>
                <w:rFonts w:ascii="Times New Roman" w:eastAsia="Times New Roman" w:hAnsi="Times New Roman" w:cs="Times New Roman"/>
                <w:b w:val="0"/>
                <w:i/>
                <w:sz w:val="18"/>
                <w:szCs w:val="20"/>
              </w:rPr>
              <w:t>Abbreviations: LYG – Life Years Gain, DALY – Disability Adjusted Life Years, QALY – Quality Adjusted Life Years</w:t>
            </w:r>
          </w:p>
          <w:p w:rsidR="001F2665" w:rsidRPr="003164EC" w:rsidRDefault="001F2665" w:rsidP="001F2665">
            <w:pPr>
              <w:spacing w:after="0"/>
              <w:rPr>
                <w:rFonts w:ascii="Times New Roman" w:eastAsia="Times New Roman" w:hAnsi="Times New Roman" w:cs="Times New Roman"/>
                <w:b w:val="0"/>
                <w:bCs w:val="0"/>
                <w:i/>
                <w:sz w:val="18"/>
                <w:szCs w:val="20"/>
              </w:rPr>
            </w:pPr>
            <w:r w:rsidRPr="003164EC">
              <w:rPr>
                <w:rFonts w:ascii="Times New Roman" w:eastAsia="Times New Roman" w:hAnsi="Times New Roman" w:cs="Times New Roman"/>
                <w:b w:val="0"/>
                <w:i/>
                <w:sz w:val="18"/>
                <w:szCs w:val="20"/>
              </w:rPr>
              <w:t xml:space="preserve">a Screening strategies consist of annual (A), biennial (B) </w:t>
            </w:r>
            <w:r w:rsidRPr="003164EC">
              <w:rPr>
                <w:rFonts w:ascii="Times New Roman" w:eastAsia="Times New Roman" w:hAnsi="Times New Roman" w:cs="Times New Roman"/>
                <w:b w:val="0"/>
                <w:i/>
                <w:sz w:val="18"/>
                <w:szCs w:val="20"/>
                <w:lang w:val="en-GB"/>
              </w:rPr>
              <w:t xml:space="preserve">and triennial (T) </w:t>
            </w:r>
            <w:r w:rsidRPr="003164EC">
              <w:rPr>
                <w:rFonts w:ascii="Times New Roman" w:eastAsia="Times New Roman" w:hAnsi="Times New Roman" w:cs="Times New Roman"/>
                <w:b w:val="0"/>
                <w:i/>
                <w:sz w:val="18"/>
                <w:szCs w:val="20"/>
              </w:rPr>
              <w:t>screening or combination of annual and biennial (A + B)</w:t>
            </w:r>
          </w:p>
          <w:p w:rsidR="001F2665" w:rsidRPr="003164EC" w:rsidRDefault="001F2665" w:rsidP="001F2665">
            <w:pPr>
              <w:spacing w:after="0"/>
              <w:rPr>
                <w:rFonts w:ascii="Times New Roman" w:eastAsia="Times New Roman" w:hAnsi="Times New Roman" w:cs="Times New Roman"/>
                <w:b w:val="0"/>
                <w:i/>
                <w:sz w:val="18"/>
                <w:szCs w:val="20"/>
              </w:rPr>
            </w:pPr>
            <w:r w:rsidRPr="003164EC">
              <w:rPr>
                <w:rFonts w:ascii="Times New Roman" w:eastAsia="Times New Roman" w:hAnsi="Times New Roman" w:cs="Times New Roman"/>
                <w:b w:val="0"/>
                <w:i/>
                <w:sz w:val="18"/>
                <w:szCs w:val="20"/>
              </w:rPr>
              <w:t>b Result is presented in Euros</w:t>
            </w:r>
          </w:p>
          <w:p w:rsidR="001F2665" w:rsidRPr="00CB070A" w:rsidRDefault="001F2665" w:rsidP="001F2665">
            <w:pPr>
              <w:spacing w:after="0"/>
              <w:rPr>
                <w:rFonts w:ascii="Times New Roman" w:eastAsia="Times New Roman" w:hAnsi="Times New Roman" w:cs="Times New Roman"/>
                <w:b w:val="0"/>
                <w:bCs w:val="0"/>
                <w:sz w:val="18"/>
                <w:szCs w:val="20"/>
                <w:lang w:val="en-GB"/>
              </w:rPr>
            </w:pPr>
            <w:r w:rsidRPr="003164EC">
              <w:rPr>
                <w:rFonts w:ascii="Times New Roman" w:eastAsia="Times New Roman" w:hAnsi="Times New Roman" w:cs="Times New Roman"/>
                <w:b w:val="0"/>
                <w:i/>
                <w:sz w:val="18"/>
                <w:szCs w:val="20"/>
              </w:rPr>
              <w:t>c Current screening strategy in the Netherlands</w:t>
            </w:r>
          </w:p>
        </w:tc>
      </w:tr>
    </w:tbl>
    <w:p w:rsidR="001F2665" w:rsidRPr="008203E9" w:rsidRDefault="001F2665" w:rsidP="001F2665">
      <w:pPr>
        <w:rPr>
          <w:rFonts w:ascii="Times New Roman" w:hAnsi="Times New Roman" w:cs="Times New Roman"/>
          <w:i/>
          <w:iCs/>
          <w:color w:val="44546A" w:themeColor="text2"/>
          <w:sz w:val="18"/>
          <w:szCs w:val="18"/>
        </w:rPr>
      </w:pPr>
    </w:p>
    <w:p w:rsidR="001F2665" w:rsidRDefault="001F2665">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sz w:val="24"/>
          <w:shd w:val="clear" w:color="auto" w:fill="FFFFFF"/>
        </w:rPr>
        <w:sectPr w:rsidR="001F2665">
          <w:footerReference w:type="default" r:id="rId9"/>
          <w:pgSz w:w="11906" w:h="16838"/>
          <w:pgMar w:top="1440" w:right="1440" w:bottom="1440" w:left="1440" w:header="708" w:footer="708" w:gutter="0"/>
          <w:cols w:space="708"/>
          <w:docGrid w:linePitch="360"/>
        </w:sectPr>
      </w:pPr>
    </w:p>
    <w:p w:rsidR="001F2665" w:rsidRPr="00012FB8" w:rsidRDefault="001F2665" w:rsidP="001F2665">
      <w:pPr>
        <w:pStyle w:val="Caption"/>
        <w:keepNext/>
        <w:spacing w:after="0"/>
        <w:rPr>
          <w:rFonts w:ascii="Times New Roman" w:hAnsi="Times New Roman" w:cs="Times New Roman"/>
        </w:rPr>
      </w:pPr>
      <w:bookmarkStart w:id="8" w:name="_GoBack"/>
      <w:bookmarkEnd w:id="8"/>
      <w:r w:rsidRPr="00012FB8">
        <w:rPr>
          <w:rFonts w:ascii="Times New Roman" w:hAnsi="Times New Roman" w:cs="Times New Roman"/>
        </w:rPr>
        <w:lastRenderedPageBreak/>
        <w:t>Table 3. Additional</w:t>
      </w:r>
      <w:r>
        <w:rPr>
          <w:rFonts w:ascii="Times New Roman" w:hAnsi="Times New Roman" w:cs="Times New Roman"/>
        </w:rPr>
        <w:t xml:space="preserve"> discounted costs; </w:t>
      </w:r>
      <w:r w:rsidRPr="00012FB8">
        <w:rPr>
          <w:rFonts w:ascii="Times New Roman" w:hAnsi="Times New Roman" w:cs="Times New Roman"/>
        </w:rPr>
        <w:t>DALYs averted</w:t>
      </w:r>
      <w:r>
        <w:rPr>
          <w:rFonts w:ascii="Times New Roman" w:hAnsi="Times New Roman" w:cs="Times New Roman"/>
        </w:rPr>
        <w:t xml:space="preserve">; and </w:t>
      </w:r>
      <w:r w:rsidRPr="00012FB8">
        <w:rPr>
          <w:rFonts w:ascii="Times New Roman" w:hAnsi="Times New Roman" w:cs="Times New Roman"/>
        </w:rPr>
        <w:t>QALYs gained</w:t>
      </w:r>
      <w:r>
        <w:rPr>
          <w:rFonts w:ascii="Times New Roman" w:hAnsi="Times New Roman" w:cs="Times New Roman"/>
        </w:rPr>
        <w:t>,</w:t>
      </w:r>
      <w:r w:rsidRPr="00012FB8">
        <w:rPr>
          <w:rFonts w:ascii="Times New Roman" w:hAnsi="Times New Roman" w:cs="Times New Roman"/>
        </w:rPr>
        <w:t xml:space="preserve"> and Incremental Cost-Effectiveness Ratio for cost-effective screening strategies</w:t>
      </w:r>
    </w:p>
    <w:tbl>
      <w:tblPr>
        <w:tblStyle w:val="ListTable6Colorful-Accent31"/>
        <w:tblW w:w="5000" w:type="pct"/>
        <w:tblLook w:val="05A0" w:firstRow="1" w:lastRow="0" w:firstColumn="1" w:lastColumn="1" w:noHBand="0" w:noVBand="1"/>
      </w:tblPr>
      <w:tblGrid>
        <w:gridCol w:w="1917"/>
        <w:gridCol w:w="1748"/>
        <w:gridCol w:w="2295"/>
        <w:gridCol w:w="1101"/>
        <w:gridCol w:w="1885"/>
        <w:gridCol w:w="1836"/>
        <w:gridCol w:w="2214"/>
        <w:gridCol w:w="962"/>
      </w:tblGrid>
      <w:tr w:rsidR="001F2665" w:rsidRPr="00012FB8" w:rsidTr="00323CE7">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4" w:space="0" w:color="auto"/>
              <w:bottom w:val="single" w:sz="4" w:space="0" w:color="AEAAAA" w:themeColor="background2" w:themeShade="BF"/>
            </w:tcBorders>
            <w:noWrap/>
            <w:hideMark/>
          </w:tcPr>
          <w:p w:rsidR="001F2665" w:rsidRPr="00012FB8" w:rsidRDefault="001F2665" w:rsidP="001F2665">
            <w:pPr>
              <w:spacing w:after="0"/>
              <w:jc w:val="center"/>
              <w:rPr>
                <w:rFonts w:ascii="Times New Roman" w:eastAsia="Times New Roman" w:hAnsi="Times New Roman" w:cs="Times New Roman"/>
                <w:b w:val="0"/>
                <w:color w:val="auto"/>
              </w:rPr>
            </w:pPr>
            <w:r w:rsidRPr="00012FB8">
              <w:rPr>
                <w:rFonts w:ascii="Times New Roman" w:eastAsia="Times New Roman" w:hAnsi="Times New Roman" w:cs="Times New Roman"/>
                <w:b w:val="0"/>
                <w:color w:val="auto"/>
              </w:rPr>
              <w:t>Cost-effective strategies – ICER</w:t>
            </w:r>
          </w:p>
        </w:tc>
      </w:tr>
      <w:tr w:rsidR="001F2665" w:rsidRPr="00012FB8" w:rsidTr="00323CE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30" w:type="pct"/>
            <w:gridSpan w:val="4"/>
            <w:tcBorders>
              <w:top w:val="single" w:sz="4" w:space="0" w:color="auto"/>
              <w:bottom w:val="single" w:sz="4" w:space="0" w:color="auto"/>
              <w:right w:val="nil"/>
            </w:tcBorders>
            <w:noWrap/>
          </w:tcPr>
          <w:p w:rsidR="001F2665" w:rsidRPr="00012FB8" w:rsidRDefault="001F2665" w:rsidP="001F2665">
            <w:pPr>
              <w:pBdr>
                <w:top w:val="none" w:sz="0" w:space="0" w:color="auto"/>
                <w:left w:val="none" w:sz="0" w:space="0" w:color="auto"/>
                <w:bottom w:val="none" w:sz="0" w:space="0" w:color="auto"/>
                <w:right w:val="none" w:sz="0" w:space="0" w:color="auto"/>
                <w:between w:val="none" w:sz="0" w:space="0" w:color="auto"/>
              </w:pBdr>
              <w:spacing w:after="0"/>
              <w:jc w:val="center"/>
              <w:rPr>
                <w:rFonts w:ascii="Times New Roman" w:eastAsia="Times New Roman" w:hAnsi="Times New Roman" w:cs="Times New Roman"/>
                <w:color w:val="auto"/>
              </w:rPr>
            </w:pPr>
            <w:r>
              <w:rPr>
                <w:rFonts w:ascii="Times New Roman" w:eastAsia="Times New Roman" w:hAnsi="Times New Roman" w:cs="Times New Roman"/>
                <w:color w:val="auto"/>
              </w:rPr>
              <w:t>D</w:t>
            </w:r>
            <w:r w:rsidRPr="00012FB8">
              <w:rPr>
                <w:rFonts w:ascii="Times New Roman" w:eastAsia="Times New Roman" w:hAnsi="Times New Roman" w:cs="Times New Roman"/>
                <w:color w:val="auto"/>
              </w:rPr>
              <w:t>ALY analyses</w:t>
            </w:r>
          </w:p>
        </w:tc>
        <w:tc>
          <w:tcPr>
            <w:cnfStyle w:val="000100000000" w:firstRow="0" w:lastRow="0" w:firstColumn="0" w:lastColumn="1" w:oddVBand="0" w:evenVBand="0" w:oddHBand="0" w:evenHBand="0" w:firstRowFirstColumn="0" w:firstRowLastColumn="0" w:lastRowFirstColumn="0" w:lastRowLastColumn="0"/>
            <w:tcW w:w="2470" w:type="pct"/>
            <w:gridSpan w:val="4"/>
            <w:tcBorders>
              <w:top w:val="single" w:sz="4" w:space="0" w:color="auto"/>
              <w:left w:val="nil"/>
              <w:bottom w:val="single" w:sz="4" w:space="0" w:color="AEAAAA" w:themeColor="background2" w:themeShade="BF"/>
            </w:tcBorders>
          </w:tcPr>
          <w:p w:rsidR="001F2665" w:rsidRPr="00012FB8" w:rsidRDefault="001F2665" w:rsidP="001F2665">
            <w:pPr>
              <w:spacing w:after="0"/>
              <w:jc w:val="center"/>
              <w:rPr>
                <w:rFonts w:ascii="Times New Roman" w:eastAsia="Times New Roman" w:hAnsi="Times New Roman" w:cs="Times New Roman"/>
                <w:color w:val="auto"/>
              </w:rPr>
            </w:pPr>
            <w:r>
              <w:rPr>
                <w:rFonts w:ascii="Times New Roman" w:eastAsia="Times New Roman" w:hAnsi="Times New Roman" w:cs="Times New Roman"/>
                <w:color w:val="auto"/>
              </w:rPr>
              <w:t>Q</w:t>
            </w:r>
            <w:r w:rsidRPr="00012FB8">
              <w:rPr>
                <w:rFonts w:ascii="Times New Roman" w:eastAsia="Times New Roman" w:hAnsi="Times New Roman" w:cs="Times New Roman"/>
                <w:color w:val="auto"/>
              </w:rPr>
              <w:t>ALY analyses</w:t>
            </w:r>
          </w:p>
        </w:tc>
      </w:tr>
      <w:tr w:rsidR="001F2665" w:rsidRPr="00012FB8" w:rsidTr="00323CE7">
        <w:trPr>
          <w:trHeight w:val="600"/>
        </w:trPr>
        <w:tc>
          <w:tcPr>
            <w:cnfStyle w:val="001000000000" w:firstRow="0" w:lastRow="0" w:firstColumn="1" w:lastColumn="0" w:oddVBand="0" w:evenVBand="0" w:oddHBand="0" w:evenHBand="0" w:firstRowFirstColumn="0" w:firstRowLastColumn="0" w:lastRowFirstColumn="0" w:lastRowLastColumn="0"/>
            <w:tcW w:w="689" w:type="pct"/>
            <w:tcBorders>
              <w:top w:val="single" w:sz="4" w:space="0" w:color="auto"/>
              <w:bottom w:val="single" w:sz="4" w:space="0" w:color="auto"/>
            </w:tcBorders>
            <w:noWrap/>
            <w:vAlign w:val="center"/>
            <w:hideMark/>
          </w:tcPr>
          <w:p w:rsidR="001F2665" w:rsidRPr="00012FB8" w:rsidRDefault="001F2665" w:rsidP="001F2665">
            <w:pPr>
              <w:spacing w:after="0"/>
              <w:jc w:val="center"/>
              <w:rPr>
                <w:rFonts w:ascii="Times New Roman" w:eastAsia="Times New Roman" w:hAnsi="Times New Roman" w:cs="Times New Roman"/>
                <w:b w:val="0"/>
                <w:color w:val="auto"/>
              </w:rPr>
            </w:pPr>
            <w:r w:rsidRPr="00012FB8">
              <w:rPr>
                <w:rFonts w:ascii="Times New Roman" w:eastAsia="Times New Roman" w:hAnsi="Times New Roman" w:cs="Times New Roman"/>
                <w:b w:val="0"/>
                <w:color w:val="auto"/>
              </w:rPr>
              <w:t>Screening strategy</w:t>
            </w:r>
          </w:p>
        </w:tc>
        <w:tc>
          <w:tcPr>
            <w:tcW w:w="626" w:type="pct"/>
            <w:tcBorders>
              <w:top w:val="single" w:sz="4" w:space="0" w:color="auto"/>
              <w:bottom w:val="single" w:sz="4" w:space="0" w:color="auto"/>
            </w:tcBorders>
            <w:vAlign w:val="center"/>
            <w:hideMark/>
          </w:tcPr>
          <w:p w:rsidR="001F2665" w:rsidRPr="00012FB8" w:rsidRDefault="001F2665" w:rsidP="001F2665">
            <w:pPr>
              <w:pBdr>
                <w:top w:val="none" w:sz="0" w:space="0" w:color="auto"/>
                <w:left w:val="none" w:sz="0" w:space="0" w:color="auto"/>
                <w:bottom w:val="none" w:sz="0" w:space="0" w:color="auto"/>
                <w:right w:val="none" w:sz="0" w:space="0" w:color="auto"/>
                <w:between w:val="none" w:sz="0" w:space="0" w:color="auto"/>
              </w:pBd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vertAlign w:val="superscript"/>
              </w:rPr>
            </w:pPr>
            <w:r w:rsidRPr="00012FB8">
              <w:rPr>
                <w:rFonts w:ascii="Times New Roman" w:eastAsia="Times New Roman" w:hAnsi="Times New Roman" w:cs="Times New Roman"/>
                <w:color w:val="auto"/>
              </w:rPr>
              <w:t xml:space="preserve">Additional </w:t>
            </w:r>
            <w:proofErr w:type="spellStart"/>
            <w:r w:rsidRPr="00012FB8">
              <w:rPr>
                <w:rFonts w:ascii="Times New Roman" w:eastAsia="Times New Roman" w:hAnsi="Times New Roman" w:cs="Times New Roman"/>
                <w:color w:val="auto"/>
              </w:rPr>
              <w:t>costs</w:t>
            </w:r>
            <w:r>
              <w:rPr>
                <w:rFonts w:ascii="Times New Roman" w:eastAsia="Times New Roman" w:hAnsi="Times New Roman" w:cs="Times New Roman"/>
                <w:color w:val="auto"/>
                <w:vertAlign w:val="superscript"/>
              </w:rPr>
              <w:t>a</w:t>
            </w:r>
            <w:proofErr w:type="spellEnd"/>
          </w:p>
        </w:tc>
        <w:tc>
          <w:tcPr>
            <w:tcW w:w="829" w:type="pct"/>
            <w:tcBorders>
              <w:top w:val="single" w:sz="4" w:space="0" w:color="auto"/>
              <w:bottom w:val="single" w:sz="4" w:space="0" w:color="auto"/>
              <w:right w:val="single" w:sz="4" w:space="0" w:color="auto"/>
            </w:tcBorders>
            <w:vAlign w:val="center"/>
            <w:hideMark/>
          </w:tcPr>
          <w:p w:rsidR="001F2665" w:rsidRPr="00012FB8"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rPr>
            </w:pPr>
            <w:r w:rsidRPr="00012FB8">
              <w:rPr>
                <w:rFonts w:ascii="Times New Roman" w:eastAsia="Times New Roman" w:hAnsi="Times New Roman" w:cs="Times New Roman"/>
                <w:color w:val="auto"/>
              </w:rPr>
              <w:t>Additional</w:t>
            </w:r>
            <w:r>
              <w:rPr>
                <w:rFonts w:ascii="Times New Roman" w:eastAsia="Times New Roman" w:hAnsi="Times New Roman" w:cs="Times New Roman"/>
                <w:color w:val="auto"/>
              </w:rPr>
              <w:t xml:space="preserve"> DALY</w:t>
            </w:r>
            <w:r w:rsidRPr="00012FB8">
              <w:rPr>
                <w:rFonts w:ascii="Times New Roman" w:eastAsia="Times New Roman" w:hAnsi="Times New Roman" w:cs="Times New Roman"/>
                <w:color w:val="auto"/>
              </w:rPr>
              <w:t xml:space="preserve"> </w:t>
            </w:r>
            <w:r>
              <w:rPr>
                <w:rFonts w:ascii="Times New Roman" w:eastAsia="Times New Roman" w:hAnsi="Times New Roman" w:cs="Times New Roman"/>
                <w:color w:val="auto"/>
              </w:rPr>
              <w:t>averted</w:t>
            </w:r>
          </w:p>
        </w:tc>
        <w:tc>
          <w:tcPr>
            <w:tcW w:w="386" w:type="pct"/>
            <w:tcBorders>
              <w:top w:val="single" w:sz="4" w:space="0" w:color="auto"/>
              <w:left w:val="single" w:sz="4" w:space="0" w:color="auto"/>
              <w:bottom w:val="single" w:sz="4" w:space="0" w:color="auto"/>
              <w:right w:val="single" w:sz="4" w:space="0" w:color="auto"/>
            </w:tcBorders>
            <w:vAlign w:val="center"/>
            <w:hideMark/>
          </w:tcPr>
          <w:p w:rsidR="001F2665" w:rsidRPr="00012FB8"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auto"/>
                <w:vertAlign w:val="superscript"/>
              </w:rPr>
            </w:pPr>
            <w:proofErr w:type="spellStart"/>
            <w:r w:rsidRPr="00012FB8">
              <w:rPr>
                <w:rFonts w:ascii="Times New Roman" w:eastAsia="Times New Roman" w:hAnsi="Times New Roman" w:cs="Times New Roman"/>
                <w:b/>
                <w:color w:val="auto"/>
              </w:rPr>
              <w:t>ICER</w:t>
            </w:r>
            <w:r>
              <w:rPr>
                <w:rFonts w:ascii="Times New Roman" w:eastAsia="Times New Roman" w:hAnsi="Times New Roman" w:cs="Times New Roman"/>
                <w:b/>
                <w:color w:val="auto"/>
                <w:vertAlign w:val="superscript"/>
              </w:rPr>
              <w:t>b</w:t>
            </w:r>
            <w:proofErr w:type="spellEnd"/>
          </w:p>
        </w:tc>
        <w:tc>
          <w:tcPr>
            <w:tcW w:w="677" w:type="pct"/>
            <w:tcBorders>
              <w:top w:val="single" w:sz="4" w:space="0" w:color="auto"/>
              <w:left w:val="single" w:sz="4" w:space="0" w:color="auto"/>
              <w:bottom w:val="single" w:sz="4" w:space="0" w:color="auto"/>
            </w:tcBorders>
            <w:vAlign w:val="center"/>
          </w:tcPr>
          <w:p w:rsidR="001F2665" w:rsidRPr="00012FB8"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rPr>
            </w:pPr>
            <w:r w:rsidRPr="00012FB8">
              <w:rPr>
                <w:rFonts w:ascii="Times New Roman" w:eastAsia="Times New Roman" w:hAnsi="Times New Roman" w:cs="Times New Roman"/>
                <w:color w:val="auto"/>
              </w:rPr>
              <w:t>Screening strategy</w:t>
            </w:r>
          </w:p>
        </w:tc>
        <w:tc>
          <w:tcPr>
            <w:tcW w:w="659" w:type="pct"/>
            <w:tcBorders>
              <w:top w:val="single" w:sz="4" w:space="0" w:color="auto"/>
              <w:bottom w:val="single" w:sz="4" w:space="0" w:color="auto"/>
            </w:tcBorders>
            <w:vAlign w:val="center"/>
          </w:tcPr>
          <w:p w:rsidR="001F2665" w:rsidRPr="00012FB8"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vertAlign w:val="superscript"/>
              </w:rPr>
            </w:pPr>
            <w:r w:rsidRPr="00012FB8">
              <w:rPr>
                <w:rFonts w:ascii="Times New Roman" w:eastAsia="Times New Roman" w:hAnsi="Times New Roman" w:cs="Times New Roman"/>
                <w:color w:val="auto"/>
              </w:rPr>
              <w:t xml:space="preserve">Additional </w:t>
            </w:r>
            <w:proofErr w:type="spellStart"/>
            <w:r w:rsidRPr="00012FB8">
              <w:rPr>
                <w:rFonts w:ascii="Times New Roman" w:eastAsia="Times New Roman" w:hAnsi="Times New Roman" w:cs="Times New Roman"/>
                <w:color w:val="auto"/>
              </w:rPr>
              <w:t>costs</w:t>
            </w:r>
            <w:r>
              <w:rPr>
                <w:rFonts w:ascii="Times New Roman" w:eastAsia="Times New Roman" w:hAnsi="Times New Roman" w:cs="Times New Roman"/>
                <w:color w:val="auto"/>
                <w:vertAlign w:val="superscript"/>
              </w:rPr>
              <w:t>a</w:t>
            </w:r>
            <w:proofErr w:type="spellEnd"/>
          </w:p>
        </w:tc>
        <w:tc>
          <w:tcPr>
            <w:tcW w:w="799" w:type="pct"/>
            <w:tcBorders>
              <w:top w:val="single" w:sz="4" w:space="0" w:color="auto"/>
              <w:bottom w:val="single" w:sz="4" w:space="0" w:color="auto"/>
              <w:right w:val="single" w:sz="4" w:space="0" w:color="auto"/>
            </w:tcBorders>
            <w:vAlign w:val="center"/>
          </w:tcPr>
          <w:p w:rsidR="001F2665" w:rsidRPr="00012FB8"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rPr>
            </w:pPr>
            <w:r>
              <w:rPr>
                <w:rFonts w:ascii="Times New Roman" w:eastAsia="Times New Roman" w:hAnsi="Times New Roman" w:cs="Times New Roman"/>
                <w:color w:val="auto"/>
              </w:rPr>
              <w:t>Additional Q</w:t>
            </w:r>
            <w:r w:rsidRPr="00012FB8">
              <w:rPr>
                <w:rFonts w:ascii="Times New Roman" w:eastAsia="Times New Roman" w:hAnsi="Times New Roman" w:cs="Times New Roman"/>
                <w:color w:val="auto"/>
              </w:rPr>
              <w:t xml:space="preserve">ALY </w:t>
            </w:r>
            <w:r>
              <w:rPr>
                <w:rFonts w:ascii="Times New Roman" w:eastAsia="Times New Roman" w:hAnsi="Times New Roman" w:cs="Times New Roman"/>
                <w:color w:val="auto"/>
              </w:rPr>
              <w:t>gained</w:t>
            </w:r>
          </w:p>
        </w:tc>
        <w:tc>
          <w:tcPr>
            <w:cnfStyle w:val="000100000000" w:firstRow="0" w:lastRow="0" w:firstColumn="0" w:lastColumn="1" w:oddVBand="0" w:evenVBand="0" w:oddHBand="0" w:evenHBand="0" w:firstRowFirstColumn="0" w:firstRowLastColumn="0" w:lastRowFirstColumn="0" w:lastRowLastColumn="0"/>
            <w:tcW w:w="334" w:type="pct"/>
            <w:tcBorders>
              <w:top w:val="single" w:sz="4" w:space="0" w:color="auto"/>
              <w:left w:val="single" w:sz="4" w:space="0" w:color="auto"/>
              <w:bottom w:val="single" w:sz="4" w:space="0" w:color="auto"/>
              <w:right w:val="single" w:sz="4" w:space="0" w:color="auto"/>
            </w:tcBorders>
            <w:vAlign w:val="center"/>
          </w:tcPr>
          <w:p w:rsidR="001F2665" w:rsidRPr="00012FB8" w:rsidRDefault="001F2665" w:rsidP="001F2665">
            <w:pPr>
              <w:spacing w:after="0"/>
              <w:jc w:val="center"/>
              <w:rPr>
                <w:rFonts w:ascii="Times New Roman" w:eastAsia="Times New Roman" w:hAnsi="Times New Roman" w:cs="Times New Roman"/>
                <w:color w:val="auto"/>
                <w:vertAlign w:val="superscript"/>
              </w:rPr>
            </w:pPr>
            <w:proofErr w:type="spellStart"/>
            <w:r w:rsidRPr="00012FB8">
              <w:rPr>
                <w:rFonts w:ascii="Times New Roman" w:eastAsia="Times New Roman" w:hAnsi="Times New Roman" w:cs="Times New Roman"/>
                <w:color w:val="auto"/>
              </w:rPr>
              <w:t>ICER</w:t>
            </w:r>
            <w:r>
              <w:rPr>
                <w:rFonts w:ascii="Times New Roman" w:eastAsia="Times New Roman" w:hAnsi="Times New Roman" w:cs="Times New Roman"/>
                <w:color w:val="auto"/>
                <w:vertAlign w:val="superscript"/>
              </w:rPr>
              <w:t>b</w:t>
            </w:r>
            <w:proofErr w:type="spellEnd"/>
          </w:p>
        </w:tc>
      </w:tr>
      <w:tr w:rsidR="001F2665" w:rsidRPr="006E2FF3" w:rsidTr="00323CE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89" w:type="pct"/>
            <w:tcBorders>
              <w:top w:val="single" w:sz="4" w:space="0" w:color="auto"/>
            </w:tcBorders>
            <w:noWrap/>
            <w:vAlign w:val="center"/>
            <w:hideMark/>
          </w:tcPr>
          <w:p w:rsidR="001F2665" w:rsidRPr="006E2FF3" w:rsidRDefault="001F2665" w:rsidP="001F2665">
            <w:pPr>
              <w:spacing w:after="0"/>
              <w:rPr>
                <w:rFonts w:ascii="Times New Roman" w:eastAsia="Times New Roman" w:hAnsi="Times New Roman" w:cs="Times New Roman"/>
                <w:b w:val="0"/>
                <w:i/>
                <w:color w:val="auto"/>
              </w:rPr>
            </w:pPr>
            <w:r w:rsidRPr="006E2FF3">
              <w:rPr>
                <w:rFonts w:ascii="Times New Roman" w:eastAsia="Times New Roman" w:hAnsi="Times New Roman" w:cs="Times New Roman"/>
                <w:b w:val="0"/>
                <w:i/>
                <w:color w:val="auto"/>
              </w:rPr>
              <w:t>No screening</w:t>
            </w:r>
          </w:p>
        </w:tc>
        <w:tc>
          <w:tcPr>
            <w:tcW w:w="626" w:type="pct"/>
            <w:tcBorders>
              <w:top w:val="single" w:sz="4" w:space="0" w:color="auto"/>
            </w:tcBorders>
            <w:noWrap/>
            <w:vAlign w:val="center"/>
            <w:hideMark/>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auto"/>
              </w:rPr>
            </w:pPr>
            <w:r w:rsidRPr="006E2FF3">
              <w:rPr>
                <w:rFonts w:ascii="Times New Roman" w:eastAsia="Times New Roman" w:hAnsi="Times New Roman" w:cs="Times New Roman"/>
                <w:i/>
                <w:color w:val="auto"/>
              </w:rPr>
              <w:t>Ref.</w:t>
            </w:r>
          </w:p>
        </w:tc>
        <w:tc>
          <w:tcPr>
            <w:tcW w:w="829" w:type="pct"/>
            <w:tcBorders>
              <w:top w:val="single" w:sz="4" w:space="0" w:color="auto"/>
              <w:right w:val="single" w:sz="4" w:space="0" w:color="auto"/>
            </w:tcBorders>
            <w:noWrap/>
            <w:vAlign w:val="center"/>
            <w:hideMark/>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auto"/>
              </w:rPr>
            </w:pPr>
            <w:r w:rsidRPr="006E2FF3">
              <w:rPr>
                <w:rFonts w:ascii="Times New Roman" w:eastAsia="Times New Roman" w:hAnsi="Times New Roman" w:cs="Times New Roman"/>
                <w:i/>
                <w:color w:val="auto"/>
              </w:rPr>
              <w:t>Ref.</w:t>
            </w:r>
          </w:p>
        </w:tc>
        <w:tc>
          <w:tcPr>
            <w:tcW w:w="386" w:type="pct"/>
            <w:tcBorders>
              <w:top w:val="single" w:sz="4" w:space="0" w:color="auto"/>
              <w:left w:val="single" w:sz="4" w:space="0" w:color="auto"/>
              <w:bottom w:val="nil"/>
              <w:right w:val="single" w:sz="4" w:space="0" w:color="auto"/>
            </w:tcBorders>
            <w:noWrap/>
            <w:vAlign w:val="center"/>
            <w:hideMark/>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i/>
                <w:color w:val="auto"/>
              </w:rPr>
            </w:pPr>
            <w:r w:rsidRPr="006E2FF3">
              <w:rPr>
                <w:rFonts w:ascii="Times New Roman" w:eastAsia="Times New Roman" w:hAnsi="Times New Roman" w:cs="Times New Roman"/>
                <w:b/>
                <w:i/>
                <w:color w:val="auto"/>
              </w:rPr>
              <w:t>Ref.</w:t>
            </w:r>
          </w:p>
        </w:tc>
        <w:tc>
          <w:tcPr>
            <w:tcW w:w="677" w:type="pct"/>
            <w:tcBorders>
              <w:top w:val="single" w:sz="4" w:space="0" w:color="auto"/>
              <w:left w:val="single" w:sz="4" w:space="0" w:color="auto"/>
            </w:tcBorders>
            <w:vAlign w:val="center"/>
          </w:tcPr>
          <w:p w:rsidR="001F2665" w:rsidRPr="006E2FF3" w:rsidRDefault="001F2665" w:rsidP="001F2665">
            <w:pPr>
              <w:spacing w:after="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auto"/>
              </w:rPr>
            </w:pPr>
            <w:r w:rsidRPr="006E2FF3">
              <w:rPr>
                <w:rFonts w:ascii="Times New Roman" w:eastAsia="Times New Roman" w:hAnsi="Times New Roman" w:cs="Times New Roman"/>
                <w:i/>
                <w:color w:val="auto"/>
              </w:rPr>
              <w:t>No screening</w:t>
            </w:r>
          </w:p>
        </w:tc>
        <w:tc>
          <w:tcPr>
            <w:tcW w:w="659" w:type="pct"/>
            <w:tcBorders>
              <w:top w:val="single" w:sz="4" w:space="0" w:color="auto"/>
            </w:tcBorders>
            <w:vAlign w:val="center"/>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auto"/>
              </w:rPr>
            </w:pPr>
            <w:r w:rsidRPr="006E2FF3">
              <w:rPr>
                <w:rFonts w:ascii="Times New Roman" w:eastAsia="Times New Roman" w:hAnsi="Times New Roman" w:cs="Times New Roman"/>
                <w:i/>
                <w:color w:val="auto"/>
              </w:rPr>
              <w:t>Ref.</w:t>
            </w:r>
          </w:p>
        </w:tc>
        <w:tc>
          <w:tcPr>
            <w:tcW w:w="799" w:type="pct"/>
            <w:tcBorders>
              <w:top w:val="single" w:sz="4" w:space="0" w:color="auto"/>
              <w:right w:val="single" w:sz="4" w:space="0" w:color="auto"/>
            </w:tcBorders>
            <w:vAlign w:val="center"/>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auto"/>
              </w:rPr>
            </w:pPr>
            <w:r w:rsidRPr="006E2FF3">
              <w:rPr>
                <w:rFonts w:ascii="Times New Roman" w:eastAsia="Times New Roman" w:hAnsi="Times New Roman" w:cs="Times New Roman"/>
                <w:i/>
                <w:color w:val="auto"/>
              </w:rPr>
              <w:t>Ref.</w:t>
            </w:r>
          </w:p>
        </w:tc>
        <w:tc>
          <w:tcPr>
            <w:cnfStyle w:val="000100000000" w:firstRow="0" w:lastRow="0" w:firstColumn="0" w:lastColumn="1" w:oddVBand="0" w:evenVBand="0" w:oddHBand="0" w:evenHBand="0" w:firstRowFirstColumn="0" w:firstRowLastColumn="0" w:lastRowFirstColumn="0" w:lastRowLastColumn="0"/>
            <w:tcW w:w="334" w:type="pct"/>
            <w:tcBorders>
              <w:top w:val="single" w:sz="4" w:space="0" w:color="auto"/>
              <w:left w:val="single" w:sz="4" w:space="0" w:color="auto"/>
              <w:bottom w:val="nil"/>
              <w:right w:val="single" w:sz="4" w:space="0" w:color="auto"/>
            </w:tcBorders>
            <w:vAlign w:val="center"/>
          </w:tcPr>
          <w:p w:rsidR="001F2665" w:rsidRPr="006E2FF3" w:rsidRDefault="001F2665" w:rsidP="001F2665">
            <w:pPr>
              <w:spacing w:after="0"/>
              <w:jc w:val="center"/>
              <w:rPr>
                <w:rFonts w:ascii="Times New Roman" w:eastAsia="Times New Roman" w:hAnsi="Times New Roman" w:cs="Times New Roman"/>
                <w:i/>
                <w:color w:val="auto"/>
              </w:rPr>
            </w:pPr>
            <w:r w:rsidRPr="006E2FF3">
              <w:rPr>
                <w:rFonts w:ascii="Times New Roman" w:eastAsia="Times New Roman" w:hAnsi="Times New Roman" w:cs="Times New Roman"/>
                <w:i/>
                <w:color w:val="auto"/>
              </w:rPr>
              <w:t>Ref.</w:t>
            </w:r>
          </w:p>
        </w:tc>
      </w:tr>
      <w:tr w:rsidR="001F2665" w:rsidRPr="006E2FF3" w:rsidTr="00323CE7">
        <w:trPr>
          <w:trHeight w:val="300"/>
        </w:trPr>
        <w:tc>
          <w:tcPr>
            <w:cnfStyle w:val="001000000000" w:firstRow="0" w:lastRow="0" w:firstColumn="1" w:lastColumn="0" w:oddVBand="0" w:evenVBand="0" w:oddHBand="0" w:evenHBand="0" w:firstRowFirstColumn="0" w:firstRowLastColumn="0" w:lastRowFirstColumn="0" w:lastRowLastColumn="0"/>
            <w:tcW w:w="689" w:type="pct"/>
            <w:noWrap/>
            <w:vAlign w:val="center"/>
            <w:hideMark/>
          </w:tcPr>
          <w:p w:rsidR="001F2665" w:rsidRPr="006E2FF3" w:rsidRDefault="001F2665" w:rsidP="001F2665">
            <w:pPr>
              <w:spacing w:after="0"/>
              <w:rPr>
                <w:rFonts w:ascii="Times New Roman" w:eastAsia="Times New Roman" w:hAnsi="Times New Roman" w:cs="Times New Roman"/>
                <w:i/>
                <w:color w:val="auto"/>
              </w:rPr>
            </w:pPr>
            <w:r w:rsidRPr="006E2FF3">
              <w:rPr>
                <w:rFonts w:ascii="Times New Roman" w:eastAsia="Times New Roman" w:hAnsi="Times New Roman" w:cs="Times New Roman"/>
                <w:i/>
                <w:color w:val="auto"/>
              </w:rPr>
              <w:t>T50-69</w:t>
            </w:r>
          </w:p>
        </w:tc>
        <w:tc>
          <w:tcPr>
            <w:tcW w:w="626" w:type="pct"/>
            <w:noWrap/>
            <w:vAlign w:val="center"/>
            <w:hideMark/>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rPr>
            </w:pPr>
            <w:r w:rsidRPr="006E2FF3">
              <w:rPr>
                <w:rFonts w:ascii="Times New Roman" w:eastAsia="Times New Roman" w:hAnsi="Times New Roman" w:cs="Times New Roman"/>
                <w:color w:val="auto"/>
              </w:rPr>
              <w:t>56,217</w:t>
            </w:r>
          </w:p>
        </w:tc>
        <w:tc>
          <w:tcPr>
            <w:tcW w:w="829" w:type="pct"/>
            <w:tcBorders>
              <w:right w:val="single" w:sz="4" w:space="0" w:color="auto"/>
            </w:tcBorders>
            <w:noWrap/>
            <w:vAlign w:val="center"/>
            <w:hideMark/>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E2FF3">
              <w:rPr>
                <w:rFonts w:ascii="Times New Roman" w:hAnsi="Times New Roman" w:cs="Times New Roman"/>
              </w:rPr>
              <w:t>46.00</w:t>
            </w:r>
          </w:p>
        </w:tc>
        <w:tc>
          <w:tcPr>
            <w:tcW w:w="386" w:type="pct"/>
            <w:tcBorders>
              <w:top w:val="nil"/>
              <w:left w:val="single" w:sz="4" w:space="0" w:color="auto"/>
              <w:bottom w:val="nil"/>
              <w:right w:val="single" w:sz="4" w:space="0" w:color="auto"/>
            </w:tcBorders>
            <w:noWrap/>
            <w:vAlign w:val="center"/>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E2FF3">
              <w:rPr>
                <w:rFonts w:ascii="Times New Roman" w:hAnsi="Times New Roman" w:cs="Times New Roman"/>
                <w:b/>
              </w:rPr>
              <w:t>1,222</w:t>
            </w:r>
          </w:p>
        </w:tc>
        <w:tc>
          <w:tcPr>
            <w:tcW w:w="677" w:type="pct"/>
            <w:tcBorders>
              <w:left w:val="single" w:sz="4" w:space="0" w:color="auto"/>
            </w:tcBorders>
            <w:vAlign w:val="center"/>
          </w:tcPr>
          <w:p w:rsidR="001F2665" w:rsidRPr="006E2FF3" w:rsidRDefault="001F2665" w:rsidP="001F2665">
            <w:pPr>
              <w:spacing w:after="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i/>
                <w:color w:val="auto"/>
              </w:rPr>
            </w:pPr>
            <w:r w:rsidRPr="006E2FF3">
              <w:rPr>
                <w:rFonts w:ascii="Times New Roman" w:eastAsia="Times New Roman" w:hAnsi="Times New Roman" w:cs="Times New Roman"/>
                <w:b/>
                <w:i/>
                <w:color w:val="auto"/>
              </w:rPr>
              <w:t>T50-69</w:t>
            </w:r>
          </w:p>
        </w:tc>
        <w:tc>
          <w:tcPr>
            <w:tcW w:w="659" w:type="pct"/>
            <w:vAlign w:val="center"/>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rPr>
            </w:pPr>
            <w:r w:rsidRPr="006E2FF3">
              <w:rPr>
                <w:rFonts w:ascii="Times New Roman" w:eastAsia="Times New Roman" w:hAnsi="Times New Roman" w:cs="Times New Roman"/>
                <w:color w:val="auto"/>
              </w:rPr>
              <w:t>56,217</w:t>
            </w:r>
          </w:p>
        </w:tc>
        <w:tc>
          <w:tcPr>
            <w:tcW w:w="799" w:type="pct"/>
            <w:tcBorders>
              <w:right w:val="single" w:sz="4" w:space="0" w:color="auto"/>
            </w:tcBorders>
            <w:vAlign w:val="center"/>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E2FF3">
              <w:rPr>
                <w:rFonts w:ascii="Times New Roman" w:hAnsi="Times New Roman" w:cs="Times New Roman"/>
              </w:rPr>
              <w:t>28.69</w:t>
            </w:r>
          </w:p>
        </w:tc>
        <w:tc>
          <w:tcPr>
            <w:cnfStyle w:val="000100000000" w:firstRow="0" w:lastRow="0" w:firstColumn="0" w:lastColumn="1" w:oddVBand="0" w:evenVBand="0" w:oddHBand="0" w:evenHBand="0" w:firstRowFirstColumn="0" w:firstRowLastColumn="0" w:lastRowFirstColumn="0" w:lastRowLastColumn="0"/>
            <w:tcW w:w="334" w:type="pct"/>
            <w:tcBorders>
              <w:top w:val="nil"/>
              <w:left w:val="single" w:sz="4" w:space="0" w:color="auto"/>
              <w:bottom w:val="nil"/>
              <w:right w:val="single" w:sz="4" w:space="0" w:color="auto"/>
            </w:tcBorders>
            <w:vAlign w:val="center"/>
          </w:tcPr>
          <w:p w:rsidR="001F2665" w:rsidRPr="006E2FF3" w:rsidRDefault="001F2665" w:rsidP="001F2665">
            <w:pPr>
              <w:spacing w:after="0"/>
              <w:jc w:val="center"/>
              <w:rPr>
                <w:rFonts w:ascii="Times New Roman" w:hAnsi="Times New Roman" w:cs="Times New Roman"/>
                <w:b w:val="0"/>
              </w:rPr>
            </w:pPr>
            <w:r w:rsidRPr="006E2FF3">
              <w:rPr>
                <w:rFonts w:ascii="Times New Roman" w:hAnsi="Times New Roman" w:cs="Times New Roman"/>
              </w:rPr>
              <w:t>1,960</w:t>
            </w:r>
          </w:p>
        </w:tc>
      </w:tr>
      <w:tr w:rsidR="001F2665" w:rsidRPr="006E2FF3" w:rsidTr="00323CE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89" w:type="pct"/>
            <w:noWrap/>
            <w:vAlign w:val="center"/>
            <w:hideMark/>
          </w:tcPr>
          <w:p w:rsidR="001F2665" w:rsidRPr="006E2FF3" w:rsidRDefault="001F2665" w:rsidP="001F2665">
            <w:pPr>
              <w:spacing w:after="0"/>
              <w:rPr>
                <w:rFonts w:ascii="Times New Roman" w:eastAsia="Times New Roman" w:hAnsi="Times New Roman" w:cs="Times New Roman"/>
                <w:bCs w:val="0"/>
                <w:i/>
                <w:color w:val="auto"/>
              </w:rPr>
            </w:pPr>
            <w:r w:rsidRPr="006E2FF3">
              <w:rPr>
                <w:rFonts w:ascii="Times New Roman" w:eastAsia="Times New Roman" w:hAnsi="Times New Roman" w:cs="Times New Roman"/>
                <w:i/>
                <w:color w:val="auto"/>
              </w:rPr>
              <w:t>T50-74</w:t>
            </w:r>
          </w:p>
        </w:tc>
        <w:tc>
          <w:tcPr>
            <w:tcW w:w="626" w:type="pct"/>
            <w:noWrap/>
            <w:vAlign w:val="center"/>
            <w:hideMark/>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rPr>
            </w:pPr>
            <w:r w:rsidRPr="006E2FF3">
              <w:rPr>
                <w:rFonts w:ascii="Times New Roman" w:eastAsia="Times New Roman" w:hAnsi="Times New Roman" w:cs="Times New Roman"/>
                <w:color w:val="auto"/>
              </w:rPr>
              <w:t>8,109</w:t>
            </w:r>
          </w:p>
        </w:tc>
        <w:tc>
          <w:tcPr>
            <w:tcW w:w="829" w:type="pct"/>
            <w:tcBorders>
              <w:right w:val="single" w:sz="4" w:space="0" w:color="auto"/>
            </w:tcBorders>
            <w:noWrap/>
            <w:vAlign w:val="center"/>
            <w:hideMark/>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2FF3">
              <w:rPr>
                <w:rFonts w:ascii="Times New Roman" w:hAnsi="Times New Roman" w:cs="Times New Roman"/>
              </w:rPr>
              <w:t>3.67</w:t>
            </w:r>
          </w:p>
        </w:tc>
        <w:tc>
          <w:tcPr>
            <w:tcW w:w="386" w:type="pct"/>
            <w:tcBorders>
              <w:top w:val="nil"/>
              <w:left w:val="single" w:sz="4" w:space="0" w:color="auto"/>
              <w:bottom w:val="nil"/>
              <w:right w:val="single" w:sz="4" w:space="0" w:color="auto"/>
            </w:tcBorders>
            <w:noWrap/>
            <w:vAlign w:val="center"/>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6E2FF3">
              <w:rPr>
                <w:rFonts w:ascii="Times New Roman" w:hAnsi="Times New Roman" w:cs="Times New Roman"/>
                <w:b/>
              </w:rPr>
              <w:t>2,207</w:t>
            </w:r>
          </w:p>
        </w:tc>
        <w:tc>
          <w:tcPr>
            <w:tcW w:w="677" w:type="pct"/>
            <w:tcBorders>
              <w:left w:val="single" w:sz="4" w:space="0" w:color="auto"/>
            </w:tcBorders>
            <w:vAlign w:val="center"/>
          </w:tcPr>
          <w:p w:rsidR="001F2665" w:rsidRPr="006E2FF3" w:rsidRDefault="001F2665" w:rsidP="001F2665">
            <w:pPr>
              <w:spacing w:after="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i/>
                <w:color w:val="auto"/>
              </w:rPr>
            </w:pPr>
            <w:r w:rsidRPr="006E2FF3">
              <w:rPr>
                <w:rFonts w:ascii="Times New Roman" w:eastAsia="Times New Roman" w:hAnsi="Times New Roman" w:cs="Times New Roman"/>
                <w:b/>
                <w:i/>
                <w:color w:val="auto"/>
              </w:rPr>
              <w:t>T50-74</w:t>
            </w:r>
          </w:p>
        </w:tc>
        <w:tc>
          <w:tcPr>
            <w:tcW w:w="659" w:type="pct"/>
            <w:vAlign w:val="center"/>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rPr>
            </w:pPr>
            <w:r w:rsidRPr="006E2FF3">
              <w:rPr>
                <w:rFonts w:ascii="Times New Roman" w:eastAsia="Times New Roman" w:hAnsi="Times New Roman" w:cs="Times New Roman"/>
                <w:color w:val="auto"/>
              </w:rPr>
              <w:t>8,109</w:t>
            </w:r>
          </w:p>
        </w:tc>
        <w:tc>
          <w:tcPr>
            <w:tcW w:w="799" w:type="pct"/>
            <w:tcBorders>
              <w:right w:val="single" w:sz="4" w:space="0" w:color="auto"/>
            </w:tcBorders>
            <w:vAlign w:val="center"/>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2FF3">
              <w:rPr>
                <w:rFonts w:ascii="Times New Roman" w:hAnsi="Times New Roman" w:cs="Times New Roman"/>
              </w:rPr>
              <w:t>1.80</w:t>
            </w:r>
          </w:p>
        </w:tc>
        <w:tc>
          <w:tcPr>
            <w:cnfStyle w:val="000100000000" w:firstRow="0" w:lastRow="0" w:firstColumn="0" w:lastColumn="1" w:oddVBand="0" w:evenVBand="0" w:oddHBand="0" w:evenHBand="0" w:firstRowFirstColumn="0" w:firstRowLastColumn="0" w:lastRowFirstColumn="0" w:lastRowLastColumn="0"/>
            <w:tcW w:w="334" w:type="pct"/>
            <w:tcBorders>
              <w:top w:val="nil"/>
              <w:left w:val="single" w:sz="4" w:space="0" w:color="auto"/>
              <w:bottom w:val="nil"/>
              <w:right w:val="single" w:sz="4" w:space="0" w:color="auto"/>
            </w:tcBorders>
            <w:vAlign w:val="center"/>
          </w:tcPr>
          <w:p w:rsidR="001F2665" w:rsidRPr="006E2FF3" w:rsidRDefault="001F2665" w:rsidP="001F2665">
            <w:pPr>
              <w:spacing w:after="0"/>
              <w:jc w:val="center"/>
              <w:rPr>
                <w:rFonts w:ascii="Times New Roman" w:hAnsi="Times New Roman" w:cs="Times New Roman"/>
                <w:b w:val="0"/>
              </w:rPr>
            </w:pPr>
            <w:r w:rsidRPr="006E2FF3">
              <w:rPr>
                <w:rFonts w:ascii="Times New Roman" w:hAnsi="Times New Roman" w:cs="Times New Roman"/>
              </w:rPr>
              <w:t>4,512</w:t>
            </w:r>
          </w:p>
        </w:tc>
      </w:tr>
      <w:tr w:rsidR="001F2665" w:rsidRPr="006E2FF3" w:rsidTr="00323CE7">
        <w:trPr>
          <w:trHeight w:val="300"/>
        </w:trPr>
        <w:tc>
          <w:tcPr>
            <w:cnfStyle w:val="001000000000" w:firstRow="0" w:lastRow="0" w:firstColumn="1" w:lastColumn="0" w:oddVBand="0" w:evenVBand="0" w:oddHBand="0" w:evenHBand="0" w:firstRowFirstColumn="0" w:firstRowLastColumn="0" w:lastRowFirstColumn="0" w:lastRowLastColumn="0"/>
            <w:tcW w:w="689" w:type="pct"/>
            <w:noWrap/>
            <w:vAlign w:val="center"/>
            <w:hideMark/>
          </w:tcPr>
          <w:p w:rsidR="001F2665" w:rsidRPr="006E2FF3" w:rsidRDefault="001F2665" w:rsidP="001F2665">
            <w:pPr>
              <w:spacing w:after="0"/>
              <w:rPr>
                <w:rFonts w:ascii="Times New Roman" w:eastAsia="Times New Roman" w:hAnsi="Times New Roman" w:cs="Times New Roman"/>
                <w:bCs w:val="0"/>
                <w:i/>
                <w:color w:val="auto"/>
              </w:rPr>
            </w:pPr>
            <w:r w:rsidRPr="006E2FF3">
              <w:rPr>
                <w:rFonts w:ascii="Times New Roman" w:eastAsia="Times New Roman" w:hAnsi="Times New Roman" w:cs="Times New Roman"/>
                <w:i/>
                <w:color w:val="auto"/>
              </w:rPr>
              <w:t>T45-74</w:t>
            </w:r>
          </w:p>
        </w:tc>
        <w:tc>
          <w:tcPr>
            <w:tcW w:w="626" w:type="pct"/>
            <w:noWrap/>
            <w:vAlign w:val="center"/>
            <w:hideMark/>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rPr>
            </w:pPr>
            <w:r w:rsidRPr="006E2FF3">
              <w:rPr>
                <w:rFonts w:ascii="Times New Roman" w:eastAsia="Times New Roman" w:hAnsi="Times New Roman" w:cs="Times New Roman"/>
                <w:color w:val="auto"/>
              </w:rPr>
              <w:t>54,950</w:t>
            </w:r>
          </w:p>
        </w:tc>
        <w:tc>
          <w:tcPr>
            <w:tcW w:w="829" w:type="pct"/>
            <w:tcBorders>
              <w:right w:val="single" w:sz="4" w:space="0" w:color="auto"/>
            </w:tcBorders>
            <w:noWrap/>
            <w:vAlign w:val="center"/>
            <w:hideMark/>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E2FF3">
              <w:rPr>
                <w:rFonts w:ascii="Times New Roman" w:hAnsi="Times New Roman" w:cs="Times New Roman"/>
              </w:rPr>
              <w:t>15.77</w:t>
            </w:r>
          </w:p>
        </w:tc>
        <w:tc>
          <w:tcPr>
            <w:tcW w:w="386" w:type="pct"/>
            <w:tcBorders>
              <w:top w:val="nil"/>
              <w:left w:val="single" w:sz="4" w:space="0" w:color="auto"/>
              <w:bottom w:val="nil"/>
              <w:right w:val="single" w:sz="4" w:space="0" w:color="auto"/>
            </w:tcBorders>
            <w:noWrap/>
            <w:vAlign w:val="center"/>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E2FF3">
              <w:rPr>
                <w:rFonts w:ascii="Times New Roman" w:hAnsi="Times New Roman" w:cs="Times New Roman"/>
                <w:b/>
              </w:rPr>
              <w:t>3,484</w:t>
            </w:r>
          </w:p>
        </w:tc>
        <w:tc>
          <w:tcPr>
            <w:tcW w:w="677" w:type="pct"/>
            <w:tcBorders>
              <w:left w:val="single" w:sz="4" w:space="0" w:color="auto"/>
            </w:tcBorders>
            <w:vAlign w:val="center"/>
          </w:tcPr>
          <w:p w:rsidR="001F2665" w:rsidRPr="006E2FF3" w:rsidRDefault="001F2665" w:rsidP="001F2665">
            <w:pPr>
              <w:spacing w:after="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i/>
                <w:color w:val="auto"/>
              </w:rPr>
            </w:pPr>
            <w:r w:rsidRPr="006E2FF3">
              <w:rPr>
                <w:rFonts w:ascii="Times New Roman" w:eastAsia="Times New Roman" w:hAnsi="Times New Roman" w:cs="Times New Roman"/>
                <w:b/>
                <w:i/>
                <w:color w:val="auto"/>
              </w:rPr>
              <w:t>T45-74</w:t>
            </w:r>
          </w:p>
        </w:tc>
        <w:tc>
          <w:tcPr>
            <w:tcW w:w="659" w:type="pct"/>
            <w:vAlign w:val="center"/>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rPr>
            </w:pPr>
            <w:r w:rsidRPr="006E2FF3">
              <w:rPr>
                <w:rFonts w:ascii="Times New Roman" w:eastAsia="Times New Roman" w:hAnsi="Times New Roman" w:cs="Times New Roman"/>
                <w:color w:val="auto"/>
              </w:rPr>
              <w:t>54,950</w:t>
            </w:r>
          </w:p>
        </w:tc>
        <w:tc>
          <w:tcPr>
            <w:tcW w:w="799" w:type="pct"/>
            <w:tcBorders>
              <w:right w:val="single" w:sz="4" w:space="0" w:color="auto"/>
            </w:tcBorders>
            <w:vAlign w:val="center"/>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E2FF3">
              <w:rPr>
                <w:rFonts w:ascii="Times New Roman" w:hAnsi="Times New Roman" w:cs="Times New Roman"/>
              </w:rPr>
              <w:t>9.01</w:t>
            </w:r>
          </w:p>
        </w:tc>
        <w:tc>
          <w:tcPr>
            <w:cnfStyle w:val="000100000000" w:firstRow="0" w:lastRow="0" w:firstColumn="0" w:lastColumn="1" w:oddVBand="0" w:evenVBand="0" w:oddHBand="0" w:evenHBand="0" w:firstRowFirstColumn="0" w:firstRowLastColumn="0" w:lastRowFirstColumn="0" w:lastRowLastColumn="0"/>
            <w:tcW w:w="334" w:type="pct"/>
            <w:tcBorders>
              <w:top w:val="nil"/>
              <w:left w:val="single" w:sz="4" w:space="0" w:color="auto"/>
              <w:bottom w:val="nil"/>
              <w:right w:val="single" w:sz="4" w:space="0" w:color="auto"/>
            </w:tcBorders>
            <w:vAlign w:val="center"/>
          </w:tcPr>
          <w:p w:rsidR="001F2665" w:rsidRPr="006E2FF3" w:rsidRDefault="001F2665" w:rsidP="001F2665">
            <w:pPr>
              <w:spacing w:after="0"/>
              <w:jc w:val="center"/>
              <w:rPr>
                <w:rFonts w:ascii="Times New Roman" w:hAnsi="Times New Roman" w:cs="Times New Roman"/>
                <w:b w:val="0"/>
              </w:rPr>
            </w:pPr>
            <w:r w:rsidRPr="006E2FF3">
              <w:rPr>
                <w:rFonts w:ascii="Times New Roman" w:hAnsi="Times New Roman" w:cs="Times New Roman"/>
              </w:rPr>
              <w:t>6,096</w:t>
            </w:r>
          </w:p>
        </w:tc>
      </w:tr>
      <w:tr w:rsidR="001F2665" w:rsidRPr="006E2FF3" w:rsidTr="00323CE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89" w:type="pct"/>
            <w:noWrap/>
            <w:vAlign w:val="center"/>
            <w:hideMark/>
          </w:tcPr>
          <w:p w:rsidR="001F2665" w:rsidRPr="006E2FF3" w:rsidRDefault="001F2665" w:rsidP="001F2665">
            <w:pPr>
              <w:spacing w:after="0"/>
              <w:rPr>
                <w:rFonts w:ascii="Times New Roman" w:eastAsia="Times New Roman" w:hAnsi="Times New Roman" w:cs="Times New Roman"/>
                <w:i/>
                <w:color w:val="auto"/>
              </w:rPr>
            </w:pPr>
            <w:r w:rsidRPr="006E2FF3">
              <w:rPr>
                <w:rFonts w:ascii="Times New Roman" w:eastAsia="Times New Roman" w:hAnsi="Times New Roman" w:cs="Times New Roman"/>
                <w:i/>
                <w:color w:val="auto"/>
              </w:rPr>
              <w:t>/</w:t>
            </w:r>
          </w:p>
        </w:tc>
        <w:tc>
          <w:tcPr>
            <w:tcW w:w="626" w:type="pct"/>
            <w:noWrap/>
            <w:vAlign w:val="center"/>
            <w:hideMark/>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rPr>
            </w:pPr>
            <w:r w:rsidRPr="006E2FF3">
              <w:rPr>
                <w:rFonts w:ascii="Times New Roman" w:eastAsia="Times New Roman" w:hAnsi="Times New Roman" w:cs="Times New Roman"/>
                <w:color w:val="auto"/>
              </w:rPr>
              <w:t>/</w:t>
            </w:r>
          </w:p>
        </w:tc>
        <w:tc>
          <w:tcPr>
            <w:tcW w:w="829" w:type="pct"/>
            <w:tcBorders>
              <w:right w:val="single" w:sz="4" w:space="0" w:color="auto"/>
            </w:tcBorders>
            <w:noWrap/>
            <w:vAlign w:val="center"/>
            <w:hideMark/>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rPr>
            </w:pPr>
            <w:r w:rsidRPr="006E2FF3">
              <w:rPr>
                <w:rFonts w:ascii="Times New Roman" w:eastAsia="Times New Roman" w:hAnsi="Times New Roman" w:cs="Times New Roman"/>
                <w:color w:val="auto"/>
              </w:rPr>
              <w:t>/</w:t>
            </w:r>
          </w:p>
        </w:tc>
        <w:tc>
          <w:tcPr>
            <w:tcW w:w="386" w:type="pct"/>
            <w:tcBorders>
              <w:top w:val="nil"/>
              <w:left w:val="single" w:sz="4" w:space="0" w:color="auto"/>
              <w:bottom w:val="nil"/>
              <w:right w:val="single" w:sz="4" w:space="0" w:color="auto"/>
            </w:tcBorders>
            <w:noWrap/>
            <w:vAlign w:val="center"/>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auto"/>
              </w:rPr>
            </w:pPr>
            <w:r w:rsidRPr="006E2FF3">
              <w:rPr>
                <w:rFonts w:ascii="Times New Roman" w:eastAsia="Times New Roman" w:hAnsi="Times New Roman" w:cs="Times New Roman"/>
                <w:b/>
                <w:color w:val="auto"/>
              </w:rPr>
              <w:t>/</w:t>
            </w:r>
          </w:p>
        </w:tc>
        <w:tc>
          <w:tcPr>
            <w:tcW w:w="677" w:type="pct"/>
            <w:tcBorders>
              <w:left w:val="single" w:sz="4" w:space="0" w:color="auto"/>
            </w:tcBorders>
            <w:vAlign w:val="center"/>
          </w:tcPr>
          <w:p w:rsidR="001F2665" w:rsidRPr="006E2FF3" w:rsidRDefault="001F2665" w:rsidP="001F2665">
            <w:pPr>
              <w:spacing w:after="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i/>
                <w:color w:val="auto"/>
              </w:rPr>
            </w:pPr>
            <w:r w:rsidRPr="006E2FF3">
              <w:rPr>
                <w:rFonts w:ascii="Times New Roman" w:eastAsia="Times New Roman" w:hAnsi="Times New Roman" w:cs="Times New Roman"/>
                <w:b/>
                <w:i/>
                <w:color w:val="auto"/>
              </w:rPr>
              <w:t>B45-72</w:t>
            </w:r>
          </w:p>
        </w:tc>
        <w:tc>
          <w:tcPr>
            <w:tcW w:w="659" w:type="pct"/>
            <w:vAlign w:val="center"/>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rPr>
            </w:pPr>
            <w:r w:rsidRPr="006E2FF3">
              <w:rPr>
                <w:rFonts w:ascii="Times New Roman" w:eastAsia="Times New Roman" w:hAnsi="Times New Roman" w:cs="Times New Roman"/>
                <w:color w:val="auto"/>
              </w:rPr>
              <w:t>81,720</w:t>
            </w:r>
          </w:p>
        </w:tc>
        <w:tc>
          <w:tcPr>
            <w:tcW w:w="799" w:type="pct"/>
            <w:tcBorders>
              <w:right w:val="single" w:sz="4" w:space="0" w:color="auto"/>
            </w:tcBorders>
            <w:vAlign w:val="center"/>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2FF3">
              <w:rPr>
                <w:rFonts w:ascii="Times New Roman" w:hAnsi="Times New Roman" w:cs="Times New Roman"/>
              </w:rPr>
              <w:t>8.37</w:t>
            </w:r>
          </w:p>
        </w:tc>
        <w:tc>
          <w:tcPr>
            <w:cnfStyle w:val="000100000000" w:firstRow="0" w:lastRow="0" w:firstColumn="0" w:lastColumn="1" w:oddVBand="0" w:evenVBand="0" w:oddHBand="0" w:evenHBand="0" w:firstRowFirstColumn="0" w:firstRowLastColumn="0" w:lastRowFirstColumn="0" w:lastRowLastColumn="0"/>
            <w:tcW w:w="334" w:type="pct"/>
            <w:tcBorders>
              <w:top w:val="nil"/>
              <w:left w:val="single" w:sz="4" w:space="0" w:color="auto"/>
              <w:bottom w:val="nil"/>
              <w:right w:val="single" w:sz="4" w:space="0" w:color="auto"/>
            </w:tcBorders>
            <w:vAlign w:val="center"/>
          </w:tcPr>
          <w:p w:rsidR="001F2665" w:rsidRPr="006E2FF3" w:rsidRDefault="001F2665" w:rsidP="001F2665">
            <w:pPr>
              <w:spacing w:after="0"/>
              <w:jc w:val="center"/>
              <w:rPr>
                <w:rFonts w:ascii="Times New Roman" w:hAnsi="Times New Roman" w:cs="Times New Roman"/>
                <w:b w:val="0"/>
              </w:rPr>
            </w:pPr>
            <w:r w:rsidRPr="006E2FF3">
              <w:rPr>
                <w:rFonts w:ascii="Times New Roman" w:hAnsi="Times New Roman" w:cs="Times New Roman"/>
              </w:rPr>
              <w:t>9,776</w:t>
            </w:r>
          </w:p>
        </w:tc>
      </w:tr>
      <w:tr w:rsidR="001F2665" w:rsidRPr="006E2FF3" w:rsidTr="00323CE7">
        <w:trPr>
          <w:trHeight w:val="315"/>
        </w:trPr>
        <w:tc>
          <w:tcPr>
            <w:cnfStyle w:val="001000000000" w:firstRow="0" w:lastRow="0" w:firstColumn="1" w:lastColumn="0" w:oddVBand="0" w:evenVBand="0" w:oddHBand="0" w:evenHBand="0" w:firstRowFirstColumn="0" w:firstRowLastColumn="0" w:lastRowFirstColumn="0" w:lastRowLastColumn="0"/>
            <w:tcW w:w="689" w:type="pct"/>
            <w:noWrap/>
            <w:vAlign w:val="center"/>
          </w:tcPr>
          <w:p w:rsidR="001F2665" w:rsidRPr="006E2FF3" w:rsidRDefault="001F2665" w:rsidP="001F2665">
            <w:pPr>
              <w:spacing w:after="0"/>
              <w:rPr>
                <w:rFonts w:ascii="Times New Roman" w:eastAsia="Times New Roman" w:hAnsi="Times New Roman" w:cs="Times New Roman"/>
                <w:i/>
                <w:color w:val="auto"/>
              </w:rPr>
            </w:pPr>
            <w:r w:rsidRPr="006E2FF3">
              <w:rPr>
                <w:rFonts w:ascii="Times New Roman" w:eastAsia="Times New Roman" w:hAnsi="Times New Roman" w:cs="Times New Roman"/>
                <w:i/>
                <w:color w:val="auto"/>
              </w:rPr>
              <w:t>B45-74</w:t>
            </w:r>
          </w:p>
        </w:tc>
        <w:tc>
          <w:tcPr>
            <w:tcW w:w="626" w:type="pct"/>
            <w:noWrap/>
            <w:vAlign w:val="center"/>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rPr>
            </w:pPr>
            <w:r w:rsidRPr="006E2FF3">
              <w:rPr>
                <w:rFonts w:ascii="Times New Roman" w:eastAsia="Times New Roman" w:hAnsi="Times New Roman" w:cs="Times New Roman"/>
                <w:color w:val="auto"/>
              </w:rPr>
              <w:t>89,171</w:t>
            </w:r>
          </w:p>
        </w:tc>
        <w:tc>
          <w:tcPr>
            <w:tcW w:w="829" w:type="pct"/>
            <w:tcBorders>
              <w:right w:val="single" w:sz="4" w:space="0" w:color="auto"/>
            </w:tcBorders>
            <w:noWrap/>
            <w:vAlign w:val="center"/>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E2FF3">
              <w:rPr>
                <w:rFonts w:ascii="Times New Roman" w:hAnsi="Times New Roman" w:cs="Times New Roman"/>
              </w:rPr>
              <w:t>14.43</w:t>
            </w:r>
          </w:p>
        </w:tc>
        <w:tc>
          <w:tcPr>
            <w:tcW w:w="386" w:type="pct"/>
            <w:tcBorders>
              <w:top w:val="nil"/>
              <w:left w:val="single" w:sz="4" w:space="0" w:color="auto"/>
              <w:bottom w:val="nil"/>
              <w:right w:val="single" w:sz="4" w:space="0" w:color="auto"/>
            </w:tcBorders>
            <w:noWrap/>
            <w:vAlign w:val="center"/>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E2FF3">
              <w:rPr>
                <w:rFonts w:ascii="Times New Roman" w:hAnsi="Times New Roman" w:cs="Times New Roman"/>
                <w:b/>
              </w:rPr>
              <w:t>6,180</w:t>
            </w:r>
          </w:p>
        </w:tc>
        <w:tc>
          <w:tcPr>
            <w:tcW w:w="677" w:type="pct"/>
            <w:tcBorders>
              <w:left w:val="single" w:sz="4" w:space="0" w:color="auto"/>
            </w:tcBorders>
            <w:vAlign w:val="center"/>
          </w:tcPr>
          <w:p w:rsidR="001F2665" w:rsidRPr="006E2FF3" w:rsidRDefault="001F2665" w:rsidP="001F2665">
            <w:pPr>
              <w:spacing w:after="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i/>
                <w:color w:val="auto"/>
              </w:rPr>
            </w:pPr>
            <w:r w:rsidRPr="006E2FF3">
              <w:rPr>
                <w:rFonts w:ascii="Times New Roman" w:eastAsia="Times New Roman" w:hAnsi="Times New Roman" w:cs="Times New Roman"/>
                <w:b/>
                <w:i/>
                <w:color w:val="auto"/>
              </w:rPr>
              <w:t>B45-74</w:t>
            </w:r>
          </w:p>
        </w:tc>
        <w:tc>
          <w:tcPr>
            <w:tcW w:w="659" w:type="pct"/>
            <w:vAlign w:val="center"/>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rPr>
            </w:pPr>
            <w:r w:rsidRPr="006E2FF3">
              <w:rPr>
                <w:rFonts w:ascii="Times New Roman" w:eastAsia="Times New Roman" w:hAnsi="Times New Roman" w:cs="Times New Roman"/>
                <w:color w:val="auto"/>
              </w:rPr>
              <w:t>7,452</w:t>
            </w:r>
          </w:p>
        </w:tc>
        <w:tc>
          <w:tcPr>
            <w:tcW w:w="799" w:type="pct"/>
            <w:tcBorders>
              <w:right w:val="single" w:sz="4" w:space="0" w:color="auto"/>
            </w:tcBorders>
            <w:vAlign w:val="center"/>
          </w:tcPr>
          <w:p w:rsidR="001F2665" w:rsidRPr="006E2FF3" w:rsidRDefault="001F2665" w:rsidP="001F2665">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E2FF3">
              <w:rPr>
                <w:rFonts w:ascii="Times New Roman" w:hAnsi="Times New Roman" w:cs="Times New Roman"/>
              </w:rPr>
              <w:t>0.66</w:t>
            </w:r>
          </w:p>
        </w:tc>
        <w:tc>
          <w:tcPr>
            <w:cnfStyle w:val="000100000000" w:firstRow="0" w:lastRow="0" w:firstColumn="0" w:lastColumn="1" w:oddVBand="0" w:evenVBand="0" w:oddHBand="0" w:evenHBand="0" w:firstRowFirstColumn="0" w:firstRowLastColumn="0" w:lastRowFirstColumn="0" w:lastRowLastColumn="0"/>
            <w:tcW w:w="334" w:type="pct"/>
            <w:tcBorders>
              <w:top w:val="nil"/>
              <w:left w:val="single" w:sz="4" w:space="0" w:color="auto"/>
              <w:bottom w:val="nil"/>
              <w:right w:val="single" w:sz="4" w:space="0" w:color="auto"/>
            </w:tcBorders>
            <w:vAlign w:val="center"/>
          </w:tcPr>
          <w:p w:rsidR="001F2665" w:rsidRPr="006E2FF3" w:rsidRDefault="001F2665" w:rsidP="001F2665">
            <w:pPr>
              <w:spacing w:after="0"/>
              <w:jc w:val="center"/>
              <w:rPr>
                <w:rFonts w:ascii="Times New Roman" w:hAnsi="Times New Roman" w:cs="Times New Roman"/>
                <w:b w:val="0"/>
              </w:rPr>
            </w:pPr>
            <w:r w:rsidRPr="006E2FF3">
              <w:rPr>
                <w:rFonts w:ascii="Times New Roman" w:hAnsi="Times New Roman" w:cs="Times New Roman"/>
              </w:rPr>
              <w:t>11,364</w:t>
            </w:r>
          </w:p>
        </w:tc>
      </w:tr>
      <w:tr w:rsidR="001F2665" w:rsidRPr="006E2FF3" w:rsidTr="00323CE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89" w:type="pct"/>
            <w:tcBorders>
              <w:top w:val="nil"/>
              <w:bottom w:val="single" w:sz="4" w:space="0" w:color="auto"/>
            </w:tcBorders>
            <w:noWrap/>
            <w:vAlign w:val="center"/>
          </w:tcPr>
          <w:p w:rsidR="001F2665" w:rsidRPr="006E2FF3" w:rsidRDefault="001F2665" w:rsidP="001F2665">
            <w:pPr>
              <w:spacing w:after="0"/>
              <w:rPr>
                <w:rFonts w:ascii="Times New Roman" w:eastAsia="Times New Roman" w:hAnsi="Times New Roman" w:cs="Times New Roman"/>
                <w:i/>
                <w:color w:val="auto"/>
              </w:rPr>
            </w:pPr>
            <w:r w:rsidRPr="006E2FF3">
              <w:rPr>
                <w:rFonts w:ascii="Times New Roman" w:eastAsia="Times New Roman" w:hAnsi="Times New Roman" w:cs="Times New Roman"/>
                <w:i/>
                <w:color w:val="auto"/>
              </w:rPr>
              <w:t>A45-74</w:t>
            </w:r>
          </w:p>
        </w:tc>
        <w:tc>
          <w:tcPr>
            <w:tcW w:w="626" w:type="pct"/>
            <w:tcBorders>
              <w:top w:val="nil"/>
              <w:bottom w:val="single" w:sz="4" w:space="0" w:color="auto"/>
            </w:tcBorders>
            <w:noWrap/>
            <w:vAlign w:val="center"/>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rPr>
            </w:pPr>
            <w:r w:rsidRPr="006E2FF3">
              <w:rPr>
                <w:rFonts w:ascii="Times New Roman" w:eastAsia="Times New Roman" w:hAnsi="Times New Roman" w:cs="Times New Roman"/>
                <w:color w:val="auto"/>
              </w:rPr>
              <w:t>254,024</w:t>
            </w:r>
          </w:p>
        </w:tc>
        <w:tc>
          <w:tcPr>
            <w:tcW w:w="829" w:type="pct"/>
            <w:tcBorders>
              <w:top w:val="nil"/>
              <w:bottom w:val="single" w:sz="4" w:space="0" w:color="auto"/>
              <w:right w:val="single" w:sz="4" w:space="0" w:color="auto"/>
            </w:tcBorders>
            <w:noWrap/>
            <w:vAlign w:val="center"/>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2FF3">
              <w:rPr>
                <w:rFonts w:ascii="Times New Roman" w:hAnsi="Times New Roman" w:cs="Times New Roman"/>
              </w:rPr>
              <w:t>25.70</w:t>
            </w:r>
          </w:p>
        </w:tc>
        <w:tc>
          <w:tcPr>
            <w:tcW w:w="386" w:type="pct"/>
            <w:tcBorders>
              <w:top w:val="nil"/>
              <w:left w:val="single" w:sz="4" w:space="0" w:color="auto"/>
              <w:bottom w:val="single" w:sz="4" w:space="0" w:color="auto"/>
              <w:right w:val="single" w:sz="4" w:space="0" w:color="auto"/>
            </w:tcBorders>
            <w:noWrap/>
            <w:vAlign w:val="center"/>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6E2FF3">
              <w:rPr>
                <w:rFonts w:ascii="Times New Roman" w:hAnsi="Times New Roman" w:cs="Times New Roman"/>
                <w:b/>
              </w:rPr>
              <w:t>9,883</w:t>
            </w:r>
          </w:p>
        </w:tc>
        <w:tc>
          <w:tcPr>
            <w:tcW w:w="677" w:type="pct"/>
            <w:tcBorders>
              <w:top w:val="nil"/>
              <w:left w:val="single" w:sz="4" w:space="0" w:color="auto"/>
              <w:bottom w:val="single" w:sz="4" w:space="0" w:color="auto"/>
            </w:tcBorders>
            <w:vAlign w:val="center"/>
          </w:tcPr>
          <w:p w:rsidR="001F2665" w:rsidRPr="006E2FF3" w:rsidRDefault="001F2665" w:rsidP="001F2665">
            <w:pPr>
              <w:spacing w:after="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i/>
              </w:rPr>
            </w:pPr>
            <w:r w:rsidRPr="006E2FF3">
              <w:rPr>
                <w:rFonts w:ascii="Times New Roman" w:eastAsia="Times New Roman" w:hAnsi="Times New Roman" w:cs="Times New Roman"/>
                <w:b/>
                <w:i/>
                <w:color w:val="auto"/>
              </w:rPr>
              <w:t>A45-74</w:t>
            </w:r>
          </w:p>
        </w:tc>
        <w:tc>
          <w:tcPr>
            <w:tcW w:w="659" w:type="pct"/>
            <w:tcBorders>
              <w:top w:val="nil"/>
              <w:bottom w:val="single" w:sz="4" w:space="0" w:color="auto"/>
            </w:tcBorders>
            <w:vAlign w:val="center"/>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rPr>
            </w:pPr>
            <w:r w:rsidRPr="006E2FF3">
              <w:rPr>
                <w:rFonts w:ascii="Times New Roman" w:eastAsia="Times New Roman" w:hAnsi="Times New Roman" w:cs="Times New Roman"/>
                <w:color w:val="auto"/>
              </w:rPr>
              <w:t>254,024</w:t>
            </w:r>
          </w:p>
        </w:tc>
        <w:tc>
          <w:tcPr>
            <w:tcW w:w="799" w:type="pct"/>
            <w:tcBorders>
              <w:top w:val="nil"/>
              <w:bottom w:val="single" w:sz="4" w:space="0" w:color="auto"/>
              <w:right w:val="single" w:sz="4" w:space="0" w:color="auto"/>
            </w:tcBorders>
            <w:vAlign w:val="center"/>
          </w:tcPr>
          <w:p w:rsidR="001F2665" w:rsidRPr="006E2FF3" w:rsidRDefault="001F2665" w:rsidP="001F2665">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2FF3">
              <w:rPr>
                <w:rFonts w:ascii="Times New Roman" w:hAnsi="Times New Roman" w:cs="Times New Roman"/>
              </w:rPr>
              <w:t>15.98</w:t>
            </w:r>
          </w:p>
        </w:tc>
        <w:tc>
          <w:tcPr>
            <w:cnfStyle w:val="000100000000" w:firstRow="0" w:lastRow="0" w:firstColumn="0" w:lastColumn="1" w:oddVBand="0" w:evenVBand="0" w:oddHBand="0" w:evenHBand="0" w:firstRowFirstColumn="0" w:firstRowLastColumn="0" w:lastRowFirstColumn="0" w:lastRowLastColumn="0"/>
            <w:tcW w:w="334" w:type="pct"/>
            <w:tcBorders>
              <w:top w:val="nil"/>
              <w:left w:val="single" w:sz="4" w:space="0" w:color="auto"/>
              <w:bottom w:val="single" w:sz="4" w:space="0" w:color="auto"/>
              <w:right w:val="single" w:sz="4" w:space="0" w:color="auto"/>
            </w:tcBorders>
            <w:vAlign w:val="center"/>
          </w:tcPr>
          <w:p w:rsidR="001F2665" w:rsidRPr="006E2FF3" w:rsidRDefault="001F2665" w:rsidP="001F2665">
            <w:pPr>
              <w:spacing w:after="0"/>
              <w:jc w:val="center"/>
              <w:rPr>
                <w:rFonts w:ascii="Times New Roman" w:hAnsi="Times New Roman" w:cs="Times New Roman"/>
                <w:b w:val="0"/>
              </w:rPr>
            </w:pPr>
            <w:r w:rsidRPr="006E2FF3">
              <w:rPr>
                <w:rFonts w:ascii="Times New Roman" w:hAnsi="Times New Roman" w:cs="Times New Roman"/>
              </w:rPr>
              <w:t>15,899</w:t>
            </w:r>
          </w:p>
        </w:tc>
      </w:tr>
      <w:tr w:rsidR="001F2665" w:rsidRPr="00650CB6" w:rsidTr="00323CE7">
        <w:trPr>
          <w:trHeight w:val="315"/>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4" w:space="0" w:color="auto"/>
              <w:bottom w:val="single" w:sz="4" w:space="0" w:color="auto"/>
              <w:right w:val="nil"/>
            </w:tcBorders>
            <w:shd w:val="clear" w:color="auto" w:fill="auto"/>
            <w:noWrap/>
          </w:tcPr>
          <w:p w:rsidR="001F2665" w:rsidRPr="00012FB8" w:rsidRDefault="001F2665" w:rsidP="001F2665">
            <w:pPr>
              <w:spacing w:after="0"/>
              <w:rPr>
                <w:rFonts w:ascii="Times New Roman" w:eastAsia="Times New Roman" w:hAnsi="Times New Roman" w:cs="Times New Roman"/>
                <w:b w:val="0"/>
                <w:i/>
                <w:sz w:val="18"/>
                <w:szCs w:val="20"/>
              </w:rPr>
            </w:pPr>
            <w:r w:rsidRPr="00012FB8">
              <w:rPr>
                <w:rFonts w:ascii="Times New Roman" w:eastAsia="Times New Roman" w:hAnsi="Times New Roman" w:cs="Times New Roman"/>
                <w:b w:val="0"/>
                <w:i/>
                <w:sz w:val="18"/>
                <w:szCs w:val="20"/>
              </w:rPr>
              <w:t>Abbreviations: DALY – disability adjusted life years</w:t>
            </w:r>
            <w:r>
              <w:rPr>
                <w:rFonts w:ascii="Times New Roman" w:eastAsia="Times New Roman" w:hAnsi="Times New Roman" w:cs="Times New Roman"/>
                <w:b w:val="0"/>
                <w:i/>
                <w:sz w:val="18"/>
                <w:szCs w:val="20"/>
              </w:rPr>
              <w:t>;</w:t>
            </w:r>
            <w:r w:rsidRPr="00012FB8">
              <w:rPr>
                <w:rFonts w:ascii="Times New Roman" w:eastAsia="Times New Roman" w:hAnsi="Times New Roman" w:cs="Times New Roman"/>
                <w:b w:val="0"/>
                <w:i/>
                <w:sz w:val="18"/>
                <w:szCs w:val="20"/>
              </w:rPr>
              <w:t xml:space="preserve"> ICER – incremental cost-effectiveness ratio; QALY</w:t>
            </w:r>
            <w:r>
              <w:rPr>
                <w:rFonts w:ascii="Times New Roman" w:eastAsia="Times New Roman" w:hAnsi="Times New Roman" w:cs="Times New Roman"/>
                <w:b w:val="0"/>
                <w:i/>
                <w:sz w:val="18"/>
                <w:szCs w:val="20"/>
              </w:rPr>
              <w:t xml:space="preserve"> – quality adjusted life years</w:t>
            </w:r>
          </w:p>
          <w:p w:rsidR="001F2665" w:rsidRPr="00012FB8" w:rsidRDefault="001F2665" w:rsidP="001F2665">
            <w:pPr>
              <w:spacing w:after="0"/>
              <w:rPr>
                <w:rFonts w:ascii="Times New Roman" w:eastAsia="Times New Roman" w:hAnsi="Times New Roman" w:cs="Times New Roman"/>
                <w:b w:val="0"/>
                <w:i/>
                <w:sz w:val="18"/>
                <w:szCs w:val="20"/>
              </w:rPr>
            </w:pPr>
            <w:proofErr w:type="spellStart"/>
            <w:r>
              <w:rPr>
                <w:rFonts w:ascii="Times New Roman" w:eastAsia="Times New Roman" w:hAnsi="Times New Roman" w:cs="Times New Roman"/>
                <w:b w:val="0"/>
                <w:i/>
                <w:sz w:val="18"/>
                <w:szCs w:val="20"/>
                <w:vertAlign w:val="superscript"/>
              </w:rPr>
              <w:t>a</w:t>
            </w:r>
            <w:proofErr w:type="spellEnd"/>
            <w:r>
              <w:rPr>
                <w:rFonts w:ascii="Times New Roman" w:eastAsia="Times New Roman" w:hAnsi="Times New Roman" w:cs="Times New Roman"/>
                <w:b w:val="0"/>
                <w:i/>
                <w:sz w:val="18"/>
                <w:szCs w:val="20"/>
                <w:vertAlign w:val="superscript"/>
              </w:rPr>
              <w:t xml:space="preserve"> </w:t>
            </w:r>
            <w:r w:rsidRPr="00012FB8">
              <w:rPr>
                <w:rFonts w:ascii="Times New Roman" w:eastAsia="Times New Roman" w:hAnsi="Times New Roman" w:cs="Times New Roman"/>
                <w:b w:val="0"/>
                <w:i/>
                <w:sz w:val="18"/>
                <w:szCs w:val="20"/>
              </w:rPr>
              <w:t>The results are presented in Euros, and reflect the additional costs relative to the less effective strategy in the ranking</w:t>
            </w:r>
          </w:p>
          <w:p w:rsidR="001F2665" w:rsidRPr="00012FB8" w:rsidRDefault="001F2665" w:rsidP="001F2665">
            <w:pPr>
              <w:spacing w:after="0"/>
              <w:rPr>
                <w:rFonts w:ascii="Times New Roman" w:eastAsia="Times New Roman" w:hAnsi="Times New Roman" w:cs="Times New Roman"/>
                <w:b w:val="0"/>
                <w:iCs/>
                <w:sz w:val="18"/>
                <w:szCs w:val="20"/>
              </w:rPr>
            </w:pPr>
            <w:r>
              <w:rPr>
                <w:rFonts w:ascii="Times New Roman" w:eastAsia="Times New Roman" w:hAnsi="Times New Roman" w:cs="Times New Roman"/>
                <w:b w:val="0"/>
                <w:i/>
                <w:sz w:val="18"/>
                <w:szCs w:val="20"/>
                <w:vertAlign w:val="superscript"/>
              </w:rPr>
              <w:t xml:space="preserve">b </w:t>
            </w:r>
            <w:r w:rsidRPr="00012FB8">
              <w:rPr>
                <w:rFonts w:ascii="Times New Roman" w:eastAsia="Times New Roman" w:hAnsi="Times New Roman" w:cs="Times New Roman"/>
                <w:b w:val="0"/>
                <w:i/>
                <w:sz w:val="18"/>
                <w:szCs w:val="20"/>
              </w:rPr>
              <w:t>The results are presented in Euros per one DALY averted or QALY gained, and are calculated as the difference in costs divided by the difference in DALY averted or QALY gained between a strategy and the previous, less effective strategy in the ranking</w:t>
            </w:r>
          </w:p>
        </w:tc>
      </w:tr>
    </w:tbl>
    <w:p w:rsidR="001F2665" w:rsidRPr="00012FB8" w:rsidRDefault="001F2665" w:rsidP="001F2665">
      <w:pPr>
        <w:spacing w:after="0" w:line="240" w:lineRule="auto"/>
        <w:rPr>
          <w:lang w:val="en-GB"/>
        </w:rPr>
      </w:pPr>
    </w:p>
    <w:p w:rsidR="00723741" w:rsidRPr="001F2665" w:rsidRDefault="00723741" w:rsidP="001F2665">
      <w:pPr>
        <w:spacing w:after="0"/>
        <w:jc w:val="both"/>
        <w:rPr>
          <w:rFonts w:ascii="Times New Roman" w:hAnsi="Times New Roman" w:cs="Times New Roman"/>
          <w:sz w:val="24"/>
          <w:shd w:val="clear" w:color="auto" w:fill="FFFFFF"/>
          <w:lang w:val="en-GB"/>
        </w:rPr>
      </w:pPr>
    </w:p>
    <w:sectPr w:rsidR="00723741" w:rsidRPr="001F2665" w:rsidSect="001F2665">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2665" w:rsidRDefault="001F2665" w:rsidP="001F2665">
      <w:pPr>
        <w:spacing w:after="0" w:line="240" w:lineRule="auto"/>
      </w:pPr>
      <w:r>
        <w:separator/>
      </w:r>
    </w:p>
  </w:endnote>
  <w:endnote w:type="continuationSeparator" w:id="0">
    <w:p w:rsidR="001F2665" w:rsidRDefault="001F2665" w:rsidP="001F26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0921681"/>
      <w:docPartObj>
        <w:docPartGallery w:val="Page Numbers (Bottom of Page)"/>
        <w:docPartUnique/>
      </w:docPartObj>
    </w:sdtPr>
    <w:sdtEndPr>
      <w:rPr>
        <w:noProof/>
      </w:rPr>
    </w:sdtEndPr>
    <w:sdtContent>
      <w:p w:rsidR="001F2665" w:rsidRDefault="001F2665">
        <w:pPr>
          <w:pStyle w:val="Footer"/>
          <w:jc w:val="right"/>
        </w:pPr>
        <w:r>
          <w:fldChar w:fldCharType="begin"/>
        </w:r>
        <w:r>
          <w:instrText xml:space="preserve"> PAGE   \* MERGEFORMAT </w:instrText>
        </w:r>
        <w:r>
          <w:fldChar w:fldCharType="separate"/>
        </w:r>
        <w:r>
          <w:rPr>
            <w:noProof/>
          </w:rPr>
          <w:t>18</w:t>
        </w:r>
        <w:r>
          <w:rPr>
            <w:noProof/>
          </w:rPr>
          <w:fldChar w:fldCharType="end"/>
        </w:r>
      </w:p>
    </w:sdtContent>
  </w:sdt>
  <w:p w:rsidR="001F2665" w:rsidRDefault="001F26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2665" w:rsidRDefault="001F2665" w:rsidP="001F2665">
      <w:pPr>
        <w:spacing w:after="0" w:line="240" w:lineRule="auto"/>
      </w:pPr>
      <w:r>
        <w:separator/>
      </w:r>
    </w:p>
  </w:footnote>
  <w:footnote w:type="continuationSeparator" w:id="0">
    <w:p w:rsidR="001F2665" w:rsidRDefault="001F2665" w:rsidP="001F26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12166E"/>
    <w:multiLevelType w:val="multilevel"/>
    <w:tmpl w:val="5D7CF998"/>
    <w:lvl w:ilvl="0">
      <w:start w:val="1"/>
      <w:numFmt w:val="decimal"/>
      <w:lvlText w:val="%1."/>
      <w:lvlJc w:val="left"/>
      <w:pPr>
        <w:tabs>
          <w:tab w:val="num" w:pos="720"/>
        </w:tabs>
        <w:ind w:left="720" w:hanging="360"/>
      </w:pPr>
      <w:rPr>
        <w:rFonts w:ascii="Times New Roman" w:eastAsia="Calibri" w:hAnsi="Times New Roman" w:cs="Times New Roman"/>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18D"/>
    <w:rsid w:val="00002A87"/>
    <w:rsid w:val="000D1919"/>
    <w:rsid w:val="001F2665"/>
    <w:rsid w:val="003514E1"/>
    <w:rsid w:val="003B4D30"/>
    <w:rsid w:val="00473DDB"/>
    <w:rsid w:val="00481307"/>
    <w:rsid w:val="00512F59"/>
    <w:rsid w:val="005E70B0"/>
    <w:rsid w:val="00612632"/>
    <w:rsid w:val="00654826"/>
    <w:rsid w:val="00666DB6"/>
    <w:rsid w:val="006A7764"/>
    <w:rsid w:val="00723741"/>
    <w:rsid w:val="00737FE0"/>
    <w:rsid w:val="00B613F2"/>
    <w:rsid w:val="00BD7A59"/>
    <w:rsid w:val="00C87672"/>
    <w:rsid w:val="00CE21F2"/>
    <w:rsid w:val="00CF1114"/>
    <w:rsid w:val="00CF3D50"/>
    <w:rsid w:val="00CF6CC3"/>
    <w:rsid w:val="00DE2C75"/>
    <w:rsid w:val="00E041A9"/>
    <w:rsid w:val="00E8618D"/>
    <w:rsid w:val="00EA20FE"/>
    <w:rsid w:val="00F12D65"/>
    <w:rsid w:val="00FE1EA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B4DA5"/>
  <w15:chartTrackingRefBased/>
  <w15:docId w15:val="{753A4FDC-9758-481D-BC44-A3D78A891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8618D"/>
    <w:pPr>
      <w:pBdr>
        <w:top w:val="nil"/>
        <w:left w:val="nil"/>
        <w:bottom w:val="nil"/>
        <w:right w:val="nil"/>
        <w:between w:val="nil"/>
      </w:pBdr>
      <w:spacing w:after="200" w:line="276" w:lineRule="auto"/>
    </w:pPr>
    <w:rPr>
      <w:rFonts w:ascii="Calibri" w:eastAsia="Calibri" w:hAnsi="Calibri" w:cs="Calibri"/>
      <w:color w:val="000000"/>
      <w:lang w:val="en-US"/>
    </w:rPr>
  </w:style>
  <w:style w:type="paragraph" w:styleId="Heading1">
    <w:name w:val="heading 1"/>
    <w:basedOn w:val="Normal"/>
    <w:next w:val="Normal"/>
    <w:link w:val="Heading1Char"/>
    <w:uiPriority w:val="9"/>
    <w:qFormat/>
    <w:rsid w:val="0072374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ighlight">
    <w:name w:val="highlight"/>
    <w:basedOn w:val="DefaultParagraphFont"/>
    <w:rsid w:val="00E8618D"/>
  </w:style>
  <w:style w:type="character" w:styleId="Hyperlink">
    <w:name w:val="Hyperlink"/>
    <w:basedOn w:val="DefaultParagraphFont"/>
    <w:uiPriority w:val="99"/>
    <w:unhideWhenUsed/>
    <w:rsid w:val="00666DB6"/>
    <w:rPr>
      <w:color w:val="0563C1" w:themeColor="hyperlink"/>
      <w:u w:val="single"/>
    </w:rPr>
  </w:style>
  <w:style w:type="paragraph" w:styleId="BalloonText">
    <w:name w:val="Balloon Text"/>
    <w:basedOn w:val="Normal"/>
    <w:link w:val="BalloonTextChar"/>
    <w:uiPriority w:val="99"/>
    <w:semiHidden/>
    <w:unhideWhenUsed/>
    <w:rsid w:val="00B613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13F2"/>
    <w:rPr>
      <w:rFonts w:ascii="Segoe UI" w:eastAsia="Calibri" w:hAnsi="Segoe UI" w:cs="Segoe UI"/>
      <w:color w:val="000000"/>
      <w:sz w:val="18"/>
      <w:szCs w:val="18"/>
      <w:lang w:val="en-US"/>
    </w:rPr>
  </w:style>
  <w:style w:type="paragraph" w:styleId="ListParagraph">
    <w:name w:val="List Paragraph"/>
    <w:basedOn w:val="Normal"/>
    <w:uiPriority w:val="34"/>
    <w:qFormat/>
    <w:rsid w:val="00723741"/>
    <w:pPr>
      <w:ind w:left="720"/>
      <w:contextualSpacing/>
    </w:pPr>
  </w:style>
  <w:style w:type="paragraph" w:customStyle="1" w:styleId="Heading1-Manuscript">
    <w:name w:val="Heading 1 - Manuscript"/>
    <w:basedOn w:val="Heading1"/>
    <w:link w:val="Heading1-ManuscriptChar"/>
    <w:qFormat/>
    <w:rsid w:val="00723741"/>
    <w:pPr>
      <w:spacing w:before="0" w:line="480" w:lineRule="auto"/>
    </w:pPr>
    <w:rPr>
      <w:rFonts w:ascii="Times New Roman" w:hAnsi="Times New Roman" w:cs="Times New Roman"/>
      <w:b/>
      <w:sz w:val="24"/>
    </w:rPr>
  </w:style>
  <w:style w:type="character" w:customStyle="1" w:styleId="Heading1-ManuscriptChar">
    <w:name w:val="Heading 1 - Manuscript Char"/>
    <w:basedOn w:val="Heading1Char"/>
    <w:link w:val="Heading1-Manuscript"/>
    <w:rsid w:val="00723741"/>
    <w:rPr>
      <w:rFonts w:ascii="Times New Roman" w:eastAsiaTheme="majorEastAsia" w:hAnsi="Times New Roman" w:cs="Times New Roman"/>
      <w:b/>
      <w:color w:val="2E74B5" w:themeColor="accent1" w:themeShade="BF"/>
      <w:sz w:val="24"/>
      <w:szCs w:val="32"/>
      <w:lang w:val="en-US"/>
    </w:rPr>
  </w:style>
  <w:style w:type="paragraph" w:customStyle="1" w:styleId="Heading2-Manuscript">
    <w:name w:val="Heading 2 - Manuscript"/>
    <w:basedOn w:val="Normal"/>
    <w:link w:val="Heading2-ManuscriptChar"/>
    <w:qFormat/>
    <w:rsid w:val="00723741"/>
    <w:pPr>
      <w:spacing w:line="480" w:lineRule="auto"/>
      <w:ind w:left="360"/>
      <w:jc w:val="both"/>
    </w:pPr>
    <w:rPr>
      <w:rFonts w:ascii="Times New Roman" w:hAnsi="Times New Roman" w:cs="Times New Roman"/>
      <w:b/>
      <w:i/>
      <w:sz w:val="24"/>
    </w:rPr>
  </w:style>
  <w:style w:type="character" w:customStyle="1" w:styleId="Heading2-ManuscriptChar">
    <w:name w:val="Heading 2 - Manuscript Char"/>
    <w:basedOn w:val="DefaultParagraphFont"/>
    <w:link w:val="Heading2-Manuscript"/>
    <w:rsid w:val="00723741"/>
    <w:rPr>
      <w:rFonts w:ascii="Times New Roman" w:eastAsia="Calibri" w:hAnsi="Times New Roman" w:cs="Times New Roman"/>
      <w:b/>
      <w:i/>
      <w:color w:val="000000"/>
      <w:sz w:val="24"/>
      <w:lang w:val="en-US"/>
    </w:rPr>
  </w:style>
  <w:style w:type="character" w:customStyle="1" w:styleId="Heading1Char">
    <w:name w:val="Heading 1 Char"/>
    <w:basedOn w:val="DefaultParagraphFont"/>
    <w:link w:val="Heading1"/>
    <w:uiPriority w:val="9"/>
    <w:rsid w:val="00723741"/>
    <w:rPr>
      <w:rFonts w:asciiTheme="majorHAnsi" w:eastAsiaTheme="majorEastAsia" w:hAnsiTheme="majorHAnsi" w:cstheme="majorBidi"/>
      <w:color w:val="2E74B5" w:themeColor="accent1" w:themeShade="BF"/>
      <w:sz w:val="32"/>
      <w:szCs w:val="32"/>
      <w:lang w:val="en-US"/>
    </w:rPr>
  </w:style>
  <w:style w:type="paragraph" w:styleId="Caption">
    <w:name w:val="caption"/>
    <w:basedOn w:val="Normal"/>
    <w:next w:val="Normal"/>
    <w:uiPriority w:val="35"/>
    <w:unhideWhenUsed/>
    <w:qFormat/>
    <w:rsid w:val="001F2665"/>
    <w:pPr>
      <w:spacing w:line="240" w:lineRule="auto"/>
    </w:pPr>
    <w:rPr>
      <w:i/>
      <w:iCs/>
      <w:color w:val="44546A" w:themeColor="text2"/>
      <w:sz w:val="18"/>
      <w:szCs w:val="18"/>
    </w:rPr>
  </w:style>
  <w:style w:type="table" w:customStyle="1" w:styleId="PlainTable21">
    <w:name w:val="Plain Table 21"/>
    <w:basedOn w:val="TableNormal"/>
    <w:uiPriority w:val="42"/>
    <w:rsid w:val="001F2665"/>
    <w:pPr>
      <w:pBdr>
        <w:top w:val="nil"/>
        <w:left w:val="nil"/>
        <w:bottom w:val="nil"/>
        <w:right w:val="nil"/>
        <w:between w:val="nil"/>
      </w:pBdr>
      <w:spacing w:after="0" w:line="240" w:lineRule="auto"/>
    </w:pPr>
    <w:rPr>
      <w:rFonts w:ascii="Calibri" w:eastAsia="Calibri" w:hAnsi="Calibri" w:cs="Calibri"/>
      <w:color w:val="000000"/>
      <w:lang w:val="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GridTable1Light-Accent2">
    <w:name w:val="Grid Table 1 Light Accent 2"/>
    <w:basedOn w:val="TableNormal"/>
    <w:uiPriority w:val="46"/>
    <w:rsid w:val="001F2665"/>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ListTable6Colorful-Accent31">
    <w:name w:val="List Table 6 Colorful - Accent 31"/>
    <w:basedOn w:val="TableNormal"/>
    <w:uiPriority w:val="51"/>
    <w:rsid w:val="001F2665"/>
    <w:pPr>
      <w:pBdr>
        <w:top w:val="nil"/>
        <w:left w:val="nil"/>
        <w:bottom w:val="nil"/>
        <w:right w:val="nil"/>
        <w:between w:val="nil"/>
      </w:pBdr>
      <w:spacing w:after="0" w:line="240" w:lineRule="auto"/>
    </w:pPr>
    <w:rPr>
      <w:rFonts w:ascii="Calibri" w:eastAsia="Calibri" w:hAnsi="Calibri" w:cs="Calibri"/>
      <w:color w:val="7B7B7B" w:themeColor="accent3" w:themeShade="BF"/>
      <w:lang w:val="en-US"/>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Header">
    <w:name w:val="header"/>
    <w:basedOn w:val="Normal"/>
    <w:link w:val="HeaderChar"/>
    <w:uiPriority w:val="99"/>
    <w:unhideWhenUsed/>
    <w:rsid w:val="001F26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2665"/>
    <w:rPr>
      <w:rFonts w:ascii="Calibri" w:eastAsia="Calibri" w:hAnsi="Calibri" w:cs="Calibri"/>
      <w:color w:val="000000"/>
      <w:lang w:val="en-US"/>
    </w:rPr>
  </w:style>
  <w:style w:type="paragraph" w:styleId="Footer">
    <w:name w:val="footer"/>
    <w:basedOn w:val="Normal"/>
    <w:link w:val="FooterChar"/>
    <w:uiPriority w:val="99"/>
    <w:unhideWhenUsed/>
    <w:rsid w:val="001F26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2665"/>
    <w:rPr>
      <w:rFonts w:ascii="Calibri" w:eastAsia="Calibri" w:hAnsi="Calibri" w:cs="Calibri"/>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18</Pages>
  <Words>29780</Words>
  <Characters>169751</Characters>
  <Application>Microsoft Office Word</Application>
  <DocSecurity>0</DocSecurity>
  <Lines>1414</Lines>
  <Paragraphs>398</Paragraphs>
  <ScaleCrop>false</ScaleCrop>
  <HeadingPairs>
    <vt:vector size="2" baseType="variant">
      <vt:variant>
        <vt:lpstr>Title</vt:lpstr>
      </vt:variant>
      <vt:variant>
        <vt:i4>1</vt:i4>
      </vt:variant>
    </vt:vector>
  </HeadingPairs>
  <TitlesOfParts>
    <vt:vector size="1" baseType="lpstr">
      <vt:lpstr/>
    </vt:vector>
  </TitlesOfParts>
  <Company>Universität Bern - ISPM</Company>
  <LinksUpToDate>false</LinksUpToDate>
  <CharactersWithSpaces>199133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Davidović, Maša (ISPM)</dc:creator>
  <cp:keywords/>
  <dc:description/>
  <cp:lastModifiedBy>E.A.M. Heijnsdijk</cp:lastModifiedBy>
  <cp:revision>3</cp:revision>
  <dcterms:created xsi:type="dcterms:W3CDTF">2021-02-11T12:08:00Z</dcterms:created>
  <dcterms:modified xsi:type="dcterms:W3CDTF">2021-02-11T12:13:00Z</dcterms:modified>
</cp:coreProperties>
</file>