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63" w:rsidRPr="00B63788" w:rsidRDefault="00436563" w:rsidP="00EC5CB8">
      <w:pPr>
        <w:pStyle w:val="Kop1"/>
        <w:rPr>
          <w:sz w:val="28"/>
          <w:szCs w:val="28"/>
        </w:rPr>
      </w:pPr>
      <w:r w:rsidRPr="00B63788">
        <w:rPr>
          <w:sz w:val="28"/>
          <w:szCs w:val="28"/>
        </w:rPr>
        <w:t>The unequal health of Europeans: reflection of the successes and failures of poli</w:t>
      </w:r>
      <w:r>
        <w:rPr>
          <w:sz w:val="28"/>
          <w:szCs w:val="28"/>
        </w:rPr>
        <w:t>cies</w:t>
      </w:r>
      <w:r w:rsidRPr="00B63788">
        <w:rPr>
          <w:sz w:val="28"/>
          <w:szCs w:val="28"/>
        </w:rPr>
        <w:t xml:space="preserve"> </w:t>
      </w:r>
    </w:p>
    <w:p w:rsidR="00436563" w:rsidRPr="00493A70" w:rsidRDefault="00436563" w:rsidP="003C7488">
      <w:pPr>
        <w:pStyle w:val="Plattetekst"/>
        <w:rPr>
          <w:lang w:val="en-GB"/>
        </w:rPr>
      </w:pPr>
    </w:p>
    <w:p w:rsidR="00436563" w:rsidRDefault="00436563" w:rsidP="003C7488">
      <w:pPr>
        <w:pStyle w:val="Plattetekst"/>
        <w:rPr>
          <w:lang w:val="en-GB"/>
        </w:rPr>
      </w:pPr>
      <w:r w:rsidRPr="00493A70">
        <w:rPr>
          <w:lang w:val="en-GB"/>
        </w:rPr>
        <w:t xml:space="preserve">Johan P. Mackenbach [a] </w:t>
      </w:r>
      <w:bookmarkStart w:id="0" w:name="_GoBack"/>
      <w:bookmarkEnd w:id="0"/>
    </w:p>
    <w:p w:rsidR="00436563" w:rsidRPr="00493A70" w:rsidRDefault="00436563" w:rsidP="003C7488">
      <w:pPr>
        <w:pStyle w:val="Plattetekst"/>
        <w:rPr>
          <w:lang w:val="en-GB"/>
        </w:rPr>
      </w:pPr>
      <w:r>
        <w:rPr>
          <w:lang w:val="en-GB"/>
        </w:rPr>
        <w:t>Marina Karanikolos [b]</w:t>
      </w:r>
    </w:p>
    <w:p w:rsidR="00A0426A" w:rsidRDefault="00A0426A" w:rsidP="00A0426A">
      <w:pPr>
        <w:pStyle w:val="Plattetekst"/>
        <w:rPr>
          <w:lang w:val="en-GB"/>
        </w:rPr>
      </w:pPr>
      <w:r w:rsidRPr="00493A70">
        <w:rPr>
          <w:lang w:val="en-GB"/>
        </w:rPr>
        <w:t>Martin McKee [b]</w:t>
      </w:r>
    </w:p>
    <w:p w:rsidR="00436563" w:rsidRPr="00493A70" w:rsidRDefault="00436563" w:rsidP="003C7488">
      <w:pPr>
        <w:pStyle w:val="Plattetekst"/>
        <w:rPr>
          <w:lang w:val="en-GB"/>
        </w:rPr>
      </w:pPr>
    </w:p>
    <w:p w:rsidR="00436563" w:rsidRPr="00493A70" w:rsidRDefault="00436563" w:rsidP="003C7488">
      <w:pPr>
        <w:pStyle w:val="Plattetekst"/>
        <w:rPr>
          <w:lang w:val="en-GB"/>
        </w:rPr>
      </w:pPr>
      <w:r w:rsidRPr="00493A70">
        <w:rPr>
          <w:lang w:val="en-GB"/>
        </w:rPr>
        <w:t>Affiliations</w:t>
      </w:r>
    </w:p>
    <w:p w:rsidR="00436563" w:rsidRPr="00493A70" w:rsidRDefault="00436563" w:rsidP="003C7488">
      <w:pPr>
        <w:pStyle w:val="Plattetekst"/>
        <w:rPr>
          <w:lang w:val="en-GB"/>
        </w:rPr>
      </w:pPr>
      <w:r w:rsidRPr="00493A70">
        <w:rPr>
          <w:lang w:val="en-GB"/>
        </w:rPr>
        <w:t>[a] Department of Public Health</w:t>
      </w:r>
    </w:p>
    <w:p w:rsidR="00436563" w:rsidRPr="00493A70" w:rsidRDefault="00436563" w:rsidP="003C7488">
      <w:pPr>
        <w:pStyle w:val="Plattetekst"/>
        <w:rPr>
          <w:lang w:val="en-GB"/>
        </w:rPr>
      </w:pPr>
      <w:r w:rsidRPr="00493A70">
        <w:rPr>
          <w:lang w:val="en-GB"/>
        </w:rPr>
        <w:t xml:space="preserve">Erasmus MC, </w:t>
      </w:r>
      <w:smartTag w:uri="urn:schemas-microsoft-com:office:smarttags" w:element="PlaceType">
        <w:r w:rsidRPr="00493A70">
          <w:rPr>
            <w:lang w:val="en-GB"/>
          </w:rPr>
          <w:t>University</w:t>
        </w:r>
      </w:smartTag>
      <w:r w:rsidRPr="00493A70">
        <w:rPr>
          <w:lang w:val="en-GB"/>
        </w:rPr>
        <w:t xml:space="preserve"> </w:t>
      </w:r>
      <w:smartTag w:uri="urn:schemas-microsoft-com:office:smarttags" w:element="PlaceName">
        <w:r w:rsidRPr="00493A70">
          <w:rPr>
            <w:lang w:val="en-GB"/>
          </w:rPr>
          <w:t>Medical</w:t>
        </w:r>
      </w:smartTag>
      <w:r w:rsidRPr="00493A70">
        <w:rPr>
          <w:lang w:val="en-GB"/>
        </w:rPr>
        <w:t xml:space="preserve"> </w:t>
      </w:r>
      <w:smartTag w:uri="urn:schemas-microsoft-com:office:smarttags" w:element="PlaceType">
        <w:r w:rsidRPr="00493A70">
          <w:rPr>
            <w:lang w:val="en-GB"/>
          </w:rPr>
          <w:t>Center</w:t>
        </w:r>
      </w:smartTag>
      <w:r w:rsidRPr="00493A70">
        <w:rPr>
          <w:lang w:val="en-GB"/>
        </w:rPr>
        <w:t xml:space="preserve"> </w:t>
      </w:r>
      <w:smartTag w:uri="urn:schemas-microsoft-com:office:smarttags" w:element="place">
        <w:smartTag w:uri="urn:schemas-microsoft-com:office:smarttags" w:element="City">
          <w:r w:rsidRPr="00493A70">
            <w:rPr>
              <w:lang w:val="en-GB"/>
            </w:rPr>
            <w:t>Rotterdam</w:t>
          </w:r>
        </w:smartTag>
      </w:smartTag>
    </w:p>
    <w:p w:rsidR="00436563" w:rsidRPr="00493A70" w:rsidRDefault="00436563" w:rsidP="003C7488">
      <w:pPr>
        <w:pStyle w:val="Plattetekst"/>
        <w:rPr>
          <w:lang w:val="en-GB"/>
        </w:rPr>
      </w:pPr>
      <w:smartTag w:uri="urn:schemas-microsoft-com:office:smarttags" w:element="place">
        <w:smartTag w:uri="urn:schemas-microsoft-com:office:smarttags" w:element="City">
          <w:r w:rsidRPr="00493A70">
            <w:rPr>
              <w:lang w:val="en-GB"/>
            </w:rPr>
            <w:t>Rotterdam</w:t>
          </w:r>
        </w:smartTag>
        <w:r w:rsidRPr="00493A70">
          <w:rPr>
            <w:lang w:val="en-GB"/>
          </w:rPr>
          <w:t xml:space="preserve">, </w:t>
        </w:r>
        <w:smartTag w:uri="urn:schemas-microsoft-com:office:smarttags" w:element="country-region">
          <w:r w:rsidRPr="00493A70">
            <w:rPr>
              <w:lang w:val="en-GB"/>
            </w:rPr>
            <w:t>Netherlands</w:t>
          </w:r>
        </w:smartTag>
      </w:smartTag>
    </w:p>
    <w:p w:rsidR="00436563" w:rsidRPr="00493A70" w:rsidRDefault="00436563" w:rsidP="003C7488">
      <w:pPr>
        <w:pStyle w:val="Plattetekst"/>
        <w:rPr>
          <w:lang w:val="en-GB"/>
        </w:rPr>
      </w:pPr>
    </w:p>
    <w:p w:rsidR="00436563" w:rsidRPr="00493A70" w:rsidRDefault="00436563" w:rsidP="003C7488">
      <w:pPr>
        <w:pStyle w:val="Plattetekst"/>
        <w:rPr>
          <w:lang w:val="en-GB"/>
        </w:rPr>
      </w:pPr>
      <w:r w:rsidRPr="00493A70">
        <w:rPr>
          <w:lang w:val="en-GB"/>
        </w:rPr>
        <w:t xml:space="preserve">[b] </w:t>
      </w:r>
      <w:smartTag w:uri="urn:schemas-microsoft-com:office:smarttags" w:element="place">
        <w:smartTag w:uri="urn:schemas-microsoft-com:office:smarttags" w:element="PlaceName">
          <w:r w:rsidRPr="00493A70">
            <w:rPr>
              <w:lang w:val="en-GB"/>
            </w:rPr>
            <w:t>London</w:t>
          </w:r>
        </w:smartTag>
        <w:r w:rsidRPr="00493A70">
          <w:rPr>
            <w:lang w:val="en-GB"/>
          </w:rPr>
          <w:t xml:space="preserve"> </w:t>
        </w:r>
        <w:smartTag w:uri="urn:schemas-microsoft-com:office:smarttags" w:element="PlaceType">
          <w:r w:rsidRPr="00493A70">
            <w:rPr>
              <w:lang w:val="en-GB"/>
            </w:rPr>
            <w:t>School</w:t>
          </w:r>
        </w:smartTag>
      </w:smartTag>
      <w:r w:rsidRPr="00493A70">
        <w:rPr>
          <w:lang w:val="en-GB"/>
        </w:rPr>
        <w:t xml:space="preserve"> of Hygiene and Tropical Medicine</w:t>
      </w:r>
    </w:p>
    <w:p w:rsidR="00436563" w:rsidRPr="00493A70" w:rsidRDefault="00436563" w:rsidP="003C7488">
      <w:pPr>
        <w:pStyle w:val="Plattetekst"/>
        <w:rPr>
          <w:lang w:val="en-GB"/>
        </w:rPr>
      </w:pPr>
      <w:smartTag w:uri="urn:schemas-microsoft-com:office:smarttags" w:element="place">
        <w:smartTag w:uri="urn:schemas-microsoft-com:office:smarttags" w:element="City">
          <w:r w:rsidRPr="00493A70">
            <w:rPr>
              <w:lang w:val="en-GB"/>
            </w:rPr>
            <w:t>London</w:t>
          </w:r>
        </w:smartTag>
        <w:r w:rsidRPr="00493A70">
          <w:rPr>
            <w:lang w:val="en-GB"/>
          </w:rPr>
          <w:t xml:space="preserve">, </w:t>
        </w:r>
        <w:smartTag w:uri="urn:schemas-microsoft-com:office:smarttags" w:element="country-region">
          <w:r w:rsidRPr="00493A70">
            <w:rPr>
              <w:lang w:val="en-GB"/>
            </w:rPr>
            <w:t>United Kingdom</w:t>
          </w:r>
        </w:smartTag>
      </w:smartTag>
    </w:p>
    <w:p w:rsidR="00436563" w:rsidRPr="00493A70" w:rsidRDefault="00436563" w:rsidP="003C7488">
      <w:pPr>
        <w:pStyle w:val="Plattetekst"/>
        <w:rPr>
          <w:lang w:val="en-GB"/>
        </w:rPr>
      </w:pPr>
    </w:p>
    <w:p w:rsidR="00436563" w:rsidRPr="00401111" w:rsidRDefault="00D823F9" w:rsidP="003C7488">
      <w:pPr>
        <w:pStyle w:val="Plattetekst"/>
        <w:rPr>
          <w:rFonts w:ascii="Cambria" w:hAnsi="Cambria"/>
          <w:b/>
          <w:bCs/>
          <w:i/>
          <w:iCs/>
          <w:sz w:val="28"/>
          <w:szCs w:val="28"/>
          <w:lang w:val="en-GB"/>
        </w:rPr>
      </w:pPr>
      <w:r>
        <w:rPr>
          <w:lang w:val="en-GB"/>
        </w:rPr>
        <w:t xml:space="preserve">Published as: </w:t>
      </w:r>
      <w:r w:rsidRPr="00D823F9">
        <w:rPr>
          <w:lang w:val="en-GB"/>
        </w:rPr>
        <w:t>Mackenbach JP, Karanikolos M, McKee M. The unequal health of Europeans: successes and failures of policies. Lancet. 2013 Mar 30;381(9872):1125-34.</w:t>
      </w:r>
      <w:r w:rsidR="00436563" w:rsidRPr="00493A70">
        <w:rPr>
          <w:lang w:val="en-GB"/>
        </w:rPr>
        <w:br w:type="page"/>
      </w:r>
    </w:p>
    <w:p w:rsidR="00436563" w:rsidRPr="00493A70" w:rsidRDefault="00436563" w:rsidP="00EC5CB8">
      <w:pPr>
        <w:pStyle w:val="Kop2"/>
      </w:pPr>
      <w:r w:rsidRPr="00493A70">
        <w:lastRenderedPageBreak/>
        <w:t>Abstract</w:t>
      </w:r>
    </w:p>
    <w:p w:rsidR="00436563" w:rsidRPr="00493A70" w:rsidRDefault="00436563" w:rsidP="003C7488">
      <w:pPr>
        <w:pStyle w:val="Plattetekst"/>
        <w:rPr>
          <w:lang w:val="en-GB"/>
        </w:rPr>
      </w:pPr>
    </w:p>
    <w:p w:rsidR="00436563" w:rsidRDefault="00436563" w:rsidP="003C7488">
      <w:pPr>
        <w:pStyle w:val="Plattetekst"/>
        <w:rPr>
          <w:lang w:val="en-GB"/>
        </w:rPr>
      </w:pPr>
      <w:smartTag w:uri="urn:schemas-microsoft-com:office:smarttags" w:element="place">
        <w:r w:rsidRPr="00493A70">
          <w:rPr>
            <w:lang w:val="en-GB"/>
          </w:rPr>
          <w:t>Europe</w:t>
        </w:r>
      </w:smartTag>
      <w:r w:rsidRPr="00493A70">
        <w:rPr>
          <w:lang w:val="en-GB"/>
        </w:rPr>
        <w:t xml:space="preserve">, with its 53 countries and divided history, is a remarkable but inadequately exploited natural laboratory for studying the effects of health policy. In this paper, the first in a series on Europe, we review recent developments in population health in </w:t>
      </w:r>
      <w:smartTag w:uri="urn:schemas-microsoft-com:office:smarttags" w:element="place">
        <w:r w:rsidRPr="00493A70">
          <w:rPr>
            <w:lang w:val="en-GB"/>
          </w:rPr>
          <w:t>Europe</w:t>
        </w:r>
      </w:smartTag>
      <w:r w:rsidRPr="00493A70">
        <w:rPr>
          <w:lang w:val="en-GB"/>
        </w:rPr>
        <w:t xml:space="preserve">, focusing on trends in mortality, and highlight the main successes and failures of health policy in the past four decades. In western Europe life expectancy has improved almost continuously, but progress has been erratic in eastern Europe, and as a result disparities in male life expectancy now are greater than four decades ago. The mortality declines seen in western Europe involve many different causes of death and reflect the combined impacts of economic growth, better health care, and successful health policies (for example on tobacco control and road traffic safety). The less favourable mortality trends in eastern Europe reflect economic and health care problems, as well as a failure to implement effective health policies in many areas. The political history of </w:t>
      </w:r>
      <w:smartTag w:uri="urn:schemas-microsoft-com:office:smarttags" w:element="place">
        <w:r w:rsidRPr="00493A70">
          <w:rPr>
            <w:lang w:val="en-GB"/>
          </w:rPr>
          <w:t>Europe</w:t>
        </w:r>
      </w:smartTag>
      <w:r w:rsidRPr="00493A70">
        <w:rPr>
          <w:lang w:val="en-GB"/>
        </w:rPr>
        <w:t xml:space="preserve"> has left deep divisions in the health of its population. Important health challenges remain both in western and eastern </w:t>
      </w:r>
      <w:smartTag w:uri="urn:schemas-microsoft-com:office:smarttags" w:element="place">
        <w:r w:rsidRPr="00493A70">
          <w:rPr>
            <w:lang w:val="en-GB"/>
          </w:rPr>
          <w:t>Europe</w:t>
        </w:r>
      </w:smartTag>
      <w:r w:rsidRPr="00493A70">
        <w:rPr>
          <w:lang w:val="en-GB"/>
        </w:rPr>
        <w:t xml:space="preserve">, reflecting unresolved issues of health policy (for example on alcohol and food) as well as rising health inequalities within countries.     </w:t>
      </w:r>
    </w:p>
    <w:p w:rsidR="00E968A4" w:rsidRDefault="00E968A4" w:rsidP="003C7488">
      <w:pPr>
        <w:pStyle w:val="Plattetekst"/>
        <w:rPr>
          <w:lang w:val="en-GB"/>
        </w:rPr>
      </w:pPr>
    </w:p>
    <w:p w:rsidR="00E968A4" w:rsidRDefault="00E968A4" w:rsidP="00E968A4">
      <w:pPr>
        <w:pStyle w:val="Kop2"/>
        <w:rPr>
          <w:lang w:val="en-GB"/>
        </w:rPr>
      </w:pPr>
      <w:r>
        <w:rPr>
          <w:lang w:val="en-GB"/>
        </w:rPr>
        <w:t>Key messages</w:t>
      </w:r>
    </w:p>
    <w:p w:rsidR="00E968A4" w:rsidRDefault="00E968A4" w:rsidP="003C7488">
      <w:pPr>
        <w:pStyle w:val="Plattetekst"/>
        <w:rPr>
          <w:lang w:val="en-GB"/>
        </w:rPr>
      </w:pPr>
    </w:p>
    <w:p w:rsidR="00E968A4" w:rsidRDefault="00E968A4" w:rsidP="003C7488">
      <w:pPr>
        <w:pStyle w:val="Plattetekst"/>
        <w:rPr>
          <w:lang w:val="en-GB"/>
        </w:rPr>
      </w:pPr>
      <w:r>
        <w:rPr>
          <w:lang w:val="en-GB"/>
        </w:rPr>
        <w:t>Europe offers a remarkable natural laboratory in which to study the effects of health policy and health systems</w:t>
      </w:r>
    </w:p>
    <w:p w:rsidR="00E968A4" w:rsidRDefault="00E968A4" w:rsidP="003C7488">
      <w:pPr>
        <w:pStyle w:val="Plattetekst"/>
        <w:rPr>
          <w:lang w:val="en-GB"/>
        </w:rPr>
      </w:pPr>
      <w:r>
        <w:rPr>
          <w:lang w:val="en-GB"/>
        </w:rPr>
        <w:t>The political divisions of Europe in the twentieth century remain apparent in patterns of health, with a persisting East West divide</w:t>
      </w:r>
    </w:p>
    <w:p w:rsidR="00E968A4" w:rsidRDefault="00E968A4" w:rsidP="003C7488">
      <w:pPr>
        <w:pStyle w:val="Plattetekst"/>
        <w:rPr>
          <w:lang w:val="en-GB"/>
        </w:rPr>
      </w:pPr>
      <w:r>
        <w:rPr>
          <w:lang w:val="en-GB"/>
        </w:rPr>
        <w:t>Despite overall progress, the</w:t>
      </w:r>
      <w:r w:rsidR="00411990">
        <w:rPr>
          <w:lang w:val="en-GB"/>
        </w:rPr>
        <w:t xml:space="preserve">re have been some remarkable </w:t>
      </w:r>
      <w:r>
        <w:rPr>
          <w:lang w:val="en-GB"/>
        </w:rPr>
        <w:t xml:space="preserve"> </w:t>
      </w:r>
      <w:r w:rsidR="00411990">
        <w:rPr>
          <w:lang w:val="en-GB"/>
        </w:rPr>
        <w:t xml:space="preserve">failures of health policy even in western Europe, such as delays in acting on tobacco in Denmark, Germany and Austria, and the rise of </w:t>
      </w:r>
      <w:r>
        <w:rPr>
          <w:lang w:val="en-GB"/>
        </w:rPr>
        <w:t xml:space="preserve">alcohol-related deaths in Finland and the United Kingdom </w:t>
      </w:r>
    </w:p>
    <w:p w:rsidR="00E968A4" w:rsidRDefault="00411990" w:rsidP="00E968A4">
      <w:pPr>
        <w:pStyle w:val="Plattetekst"/>
        <w:rPr>
          <w:lang w:val="en-GB"/>
        </w:rPr>
      </w:pPr>
      <w:r>
        <w:rPr>
          <w:lang w:val="en-GB"/>
        </w:rPr>
        <w:t xml:space="preserve">The East West health divide is partly due to failures of health policy in eastern Europe, e.g. in the fields of tobacco and alcohol, infectious diseases, road and child safety, and health care. </w:t>
      </w:r>
    </w:p>
    <w:p w:rsidR="00E968A4" w:rsidRDefault="001065F0" w:rsidP="003C7488">
      <w:pPr>
        <w:pStyle w:val="Plattetekst"/>
        <w:rPr>
          <w:lang w:val="en-GB"/>
        </w:rPr>
      </w:pPr>
      <w:r>
        <w:rPr>
          <w:lang w:val="en-GB"/>
        </w:rPr>
        <w:t xml:space="preserve">Patterns of health also vary </w:t>
      </w:r>
      <w:r w:rsidR="00524655">
        <w:rPr>
          <w:lang w:val="en-GB"/>
        </w:rPr>
        <w:t xml:space="preserve">greatly </w:t>
      </w:r>
      <w:r>
        <w:rPr>
          <w:lang w:val="en-GB"/>
        </w:rPr>
        <w:t xml:space="preserve">within countries, </w:t>
      </w:r>
      <w:r w:rsidR="00524655">
        <w:rPr>
          <w:lang w:val="en-GB"/>
        </w:rPr>
        <w:t xml:space="preserve">by </w:t>
      </w:r>
      <w:r>
        <w:rPr>
          <w:lang w:val="en-GB"/>
        </w:rPr>
        <w:t>region</w:t>
      </w:r>
      <w:r w:rsidR="00524655">
        <w:rPr>
          <w:lang w:val="en-GB"/>
        </w:rPr>
        <w:t xml:space="preserve">, </w:t>
      </w:r>
      <w:r>
        <w:rPr>
          <w:lang w:val="en-GB"/>
        </w:rPr>
        <w:t xml:space="preserve">by </w:t>
      </w:r>
      <w:r w:rsidR="00524655">
        <w:rPr>
          <w:lang w:val="en-GB"/>
        </w:rPr>
        <w:t xml:space="preserve">socioeconomic group and by </w:t>
      </w:r>
      <w:r>
        <w:rPr>
          <w:lang w:val="en-GB"/>
        </w:rPr>
        <w:t xml:space="preserve">ethnicity, providing further opportunities </w:t>
      </w:r>
      <w:r w:rsidR="00524655">
        <w:rPr>
          <w:lang w:val="en-GB"/>
        </w:rPr>
        <w:t xml:space="preserve">for health improvement in addition to those related </w:t>
      </w:r>
      <w:r>
        <w:rPr>
          <w:lang w:val="en-GB"/>
        </w:rPr>
        <w:t>to experience elsewhere</w:t>
      </w:r>
    </w:p>
    <w:p w:rsidR="001065F0" w:rsidRPr="00493A70" w:rsidRDefault="001065F0" w:rsidP="003C7488">
      <w:pPr>
        <w:pStyle w:val="Plattetekst"/>
        <w:rPr>
          <w:lang w:val="en-GB"/>
        </w:rPr>
      </w:pPr>
    </w:p>
    <w:p w:rsidR="00436563" w:rsidRPr="00401111" w:rsidRDefault="00436563" w:rsidP="004826EA">
      <w:pPr>
        <w:pStyle w:val="Kop2"/>
        <w:rPr>
          <w:rFonts w:ascii="Calibri" w:hAnsi="Calibri"/>
          <w:b w:val="0"/>
          <w:bCs w:val="0"/>
          <w:i w:val="0"/>
          <w:iCs w:val="0"/>
          <w:sz w:val="24"/>
          <w:szCs w:val="32"/>
          <w:lang w:val="en-GB"/>
        </w:rPr>
      </w:pPr>
    </w:p>
    <w:p w:rsidR="00436563" w:rsidRPr="00493A70" w:rsidRDefault="00436563">
      <w:pPr>
        <w:spacing w:after="200" w:line="276" w:lineRule="auto"/>
        <w:rPr>
          <w:szCs w:val="32"/>
          <w:lang w:val="en-GB"/>
        </w:rPr>
      </w:pPr>
      <w:r w:rsidRPr="00493A70">
        <w:rPr>
          <w:b/>
          <w:bCs/>
          <w:i/>
          <w:iCs/>
          <w:szCs w:val="32"/>
          <w:lang w:val="en-GB"/>
        </w:rPr>
        <w:br w:type="page"/>
      </w:r>
    </w:p>
    <w:p w:rsidR="00436563" w:rsidRPr="00493A70" w:rsidRDefault="00436563" w:rsidP="00EC5CB8">
      <w:pPr>
        <w:pStyle w:val="Kop2"/>
      </w:pPr>
      <w:r w:rsidRPr="00493A70">
        <w:lastRenderedPageBreak/>
        <w:t>Introduction</w:t>
      </w:r>
    </w:p>
    <w:p w:rsidR="00436563" w:rsidRDefault="00436563" w:rsidP="00CF52FE">
      <w:pPr>
        <w:pStyle w:val="Plattetekst"/>
        <w:rPr>
          <w:lang w:val="en-GB"/>
        </w:rPr>
      </w:pPr>
      <w:r w:rsidRPr="00A77EA0">
        <w:rPr>
          <w:lang w:val="en-GB"/>
        </w:rPr>
        <w:t>Th</w:t>
      </w:r>
      <w:r>
        <w:rPr>
          <w:lang w:val="en-GB"/>
        </w:rPr>
        <w:t>is is the first in a series of papers on health and health policy in Europe</w:t>
      </w:r>
      <w:r w:rsidR="00E968A4">
        <w:rPr>
          <w:lang w:val="en-GB"/>
        </w:rPr>
        <w:t xml:space="preserve">. We </w:t>
      </w:r>
      <w:r>
        <w:rPr>
          <w:lang w:val="en-GB"/>
        </w:rPr>
        <w:t xml:space="preserve">define </w:t>
      </w:r>
      <w:r w:rsidR="00E968A4">
        <w:rPr>
          <w:lang w:val="en-GB"/>
        </w:rPr>
        <w:t xml:space="preserve">Europe </w:t>
      </w:r>
      <w:r>
        <w:rPr>
          <w:lang w:val="en-GB"/>
        </w:rPr>
        <w:t xml:space="preserve">pragmatically as the 53 countries of the World Health Organisation’s European Region while remaining aware that any attempt to define Europe is far from straightforward (Box 1). The Lancet has produced many series on different parts of the world but this is the first time it has come home to </w:t>
      </w:r>
      <w:smartTag w:uri="urn:schemas-microsoft-com:office:smarttags" w:element="place">
        <w:r>
          <w:rPr>
            <w:lang w:val="en-GB"/>
          </w:rPr>
          <w:t>Europe</w:t>
        </w:r>
      </w:smartTag>
      <w:r>
        <w:rPr>
          <w:lang w:val="en-GB"/>
        </w:rPr>
        <w:t xml:space="preserve">. We believe that </w:t>
      </w:r>
      <w:r w:rsidR="00E968A4">
        <w:rPr>
          <w:lang w:val="en-GB"/>
        </w:rPr>
        <w:t xml:space="preserve">this series </w:t>
      </w:r>
      <w:r w:rsidRPr="00A77EA0">
        <w:rPr>
          <w:lang w:val="en-GB"/>
        </w:rPr>
        <w:t xml:space="preserve">should be of interest to Lancet readers for a number of reasons. </w:t>
      </w:r>
    </w:p>
    <w:p w:rsidR="00436563" w:rsidRDefault="00436563" w:rsidP="00CF52FE">
      <w:pPr>
        <w:pStyle w:val="Plattetekst"/>
        <w:rPr>
          <w:lang w:val="en-GB"/>
        </w:rPr>
      </w:pPr>
      <w:r w:rsidRPr="00A77EA0">
        <w:rPr>
          <w:lang w:val="en-GB"/>
        </w:rPr>
        <w:t xml:space="preserve">First, </w:t>
      </w:r>
      <w:smartTag w:uri="urn:schemas-microsoft-com:office:smarttags" w:element="place">
        <w:r w:rsidRPr="00A77EA0">
          <w:rPr>
            <w:lang w:val="en-GB"/>
          </w:rPr>
          <w:t>Europe</w:t>
        </w:r>
      </w:smartTag>
      <w:r w:rsidRPr="00A77EA0">
        <w:rPr>
          <w:lang w:val="en-GB"/>
        </w:rPr>
        <w:t xml:space="preserve"> provides a rich natural laboratory for studying the determinants of population health and the effects of health policy.</w:t>
      </w:r>
      <w:r>
        <w:rPr>
          <w:lang w:val="en-GB"/>
        </w:rPr>
        <w:t xml:space="preserve"> For example, t</w:t>
      </w:r>
      <w:r w:rsidRPr="00A77EA0">
        <w:rPr>
          <w:lang w:val="en-GB"/>
        </w:rPr>
        <w:t xml:space="preserve">he diet and drinking patterns of Europeans, both known determinants of health, vary widely </w:t>
      </w:r>
      <w:r>
        <w:rPr>
          <w:lang w:val="en-GB"/>
        </w:rPr>
        <w:t>due to</w:t>
      </w:r>
      <w:r w:rsidRPr="00A77EA0">
        <w:rPr>
          <w:lang w:val="en-GB"/>
        </w:rPr>
        <w:t xml:space="preserve"> climatic and thus agricultural diversity. The countries of </w:t>
      </w:r>
      <w:smartTag w:uri="urn:schemas-microsoft-com:office:smarttags" w:element="place">
        <w:r w:rsidRPr="00A77EA0">
          <w:rPr>
            <w:lang w:val="en-GB"/>
          </w:rPr>
          <w:t>Europe</w:t>
        </w:r>
      </w:smartTag>
      <w:r w:rsidRPr="00A77EA0">
        <w:rPr>
          <w:lang w:val="en-GB"/>
        </w:rPr>
        <w:t xml:space="preserve"> have </w:t>
      </w:r>
      <w:r>
        <w:rPr>
          <w:lang w:val="en-GB"/>
        </w:rPr>
        <w:t xml:space="preserve">also </w:t>
      </w:r>
      <w:r w:rsidRPr="00A77EA0">
        <w:rPr>
          <w:lang w:val="en-GB"/>
        </w:rPr>
        <w:t xml:space="preserve">pursued very different policies that impact on the determinants of health, whether proximal, such as tobacco, traffic </w:t>
      </w:r>
      <w:r>
        <w:rPr>
          <w:lang w:val="en-GB"/>
        </w:rPr>
        <w:t>injury</w:t>
      </w:r>
      <w:r w:rsidRPr="00A77EA0">
        <w:rPr>
          <w:lang w:val="en-GB"/>
        </w:rPr>
        <w:t>, and illicit drugs, or distal, such as</w:t>
      </w:r>
      <w:r>
        <w:rPr>
          <w:lang w:val="en-GB"/>
        </w:rPr>
        <w:t xml:space="preserve"> </w:t>
      </w:r>
      <w:r w:rsidRPr="00A77EA0">
        <w:rPr>
          <w:lang w:val="en-GB"/>
        </w:rPr>
        <w:t>poverty. While united in a commitment to universal coverage of health services, each organises their health systems in different ways. There is much that can be learned from this diversity.</w:t>
      </w:r>
      <w:r w:rsidRPr="00CF52FE">
        <w:rPr>
          <w:lang w:val="en-GB"/>
        </w:rPr>
        <w:t xml:space="preserve"> </w:t>
      </w:r>
      <w:r w:rsidR="001D3206">
        <w:rPr>
          <w:lang w:val="en-GB"/>
        </w:rPr>
        <w:fldChar w:fldCharType="begin"/>
      </w:r>
      <w:r w:rsidR="009679B5">
        <w:rPr>
          <w:lang w:val="en-GB"/>
        </w:rPr>
        <w:instrText xml:space="preserve"> ADDIN EN.CITE &lt;EndNote&gt;&lt;Cite&gt;&lt;Author&gt;Mackenbach&lt;/Author&gt;&lt;Year&gt;(in press)&lt;/Year&gt;&lt;RecNum&gt;53&lt;/RecNum&gt;&lt;DisplayText&gt;[1]&lt;/DisplayText&gt;&lt;record&gt;&lt;rec-number&gt;53&lt;/rec-number&gt;&lt;foreign-keys&gt;&lt;key app="EN" db-id="x0x5v9tejav5faewxt4xwrd5aav2xredt5zf"&gt;53&lt;/key&gt;&lt;/foreign-keys&gt;&lt;ref-type name="Edited Book"&gt;28&lt;/ref-type&gt;&lt;contributors&gt;&lt;authors&gt;&lt;author&gt;Mackenbach, J.P.&lt;/author&gt;&lt;author&gt;McKee, M.&lt;/author&gt;&lt;/authors&gt;&lt;/contributors&gt;&lt;titles&gt;&lt;title&gt;Successes and failures of health policy in Europe over four decades: Diverging trends, converging challenges&lt;/title&gt;&lt;/titles&gt;&lt;dates&gt;&lt;year&gt;(in press)&lt;/year&gt;&lt;/dates&gt;&lt;pub-location&gt;Buckingham&lt;/pub-location&gt;&lt;publisher&gt;Open University Press&lt;/publisher&gt;&lt;urls&gt;&lt;/urls&gt;&lt;/record&gt;&lt;/Cite&gt;&lt;/EndNote&gt;</w:instrText>
      </w:r>
      <w:r w:rsidR="001D3206">
        <w:rPr>
          <w:lang w:val="en-GB"/>
        </w:rPr>
        <w:fldChar w:fldCharType="separate"/>
      </w:r>
      <w:r w:rsidR="001406BF" w:rsidRPr="001406BF">
        <w:rPr>
          <w:noProof/>
          <w:vertAlign w:val="superscript"/>
          <w:lang w:val="en-GB"/>
        </w:rPr>
        <w:t>1</w:t>
      </w:r>
      <w:r w:rsidR="001D3206">
        <w:rPr>
          <w:lang w:val="en-GB"/>
        </w:rPr>
        <w:fldChar w:fldCharType="end"/>
      </w:r>
    </w:p>
    <w:p w:rsidR="00436563" w:rsidRDefault="00436563" w:rsidP="00CF52FE">
      <w:pPr>
        <w:pStyle w:val="Plattetekst"/>
        <w:rPr>
          <w:lang w:val="en-GB"/>
        </w:rPr>
      </w:pPr>
      <w:r>
        <w:rPr>
          <w:lang w:val="en-GB"/>
        </w:rPr>
        <w:t xml:space="preserve">Second, </w:t>
      </w:r>
      <w:r w:rsidRPr="00A77EA0">
        <w:rPr>
          <w:lang w:val="en-GB"/>
        </w:rPr>
        <w:t>Europe differs from many of the other parts of the world that have featured in previous Lancet series</w:t>
      </w:r>
      <w:r>
        <w:rPr>
          <w:lang w:val="en-GB"/>
        </w:rPr>
        <w:t xml:space="preserve"> on </w:t>
      </w:r>
      <w:r w:rsidRPr="00A77EA0">
        <w:rPr>
          <w:lang w:val="en-GB"/>
        </w:rPr>
        <w:t xml:space="preserve">countries such as </w:t>
      </w:r>
      <w:smartTag w:uri="urn:schemas-microsoft-com:office:smarttags" w:element="country-region">
        <w:r w:rsidRPr="00A77EA0">
          <w:rPr>
            <w:lang w:val="en-GB"/>
          </w:rPr>
          <w:t>China</w:t>
        </w:r>
      </w:smartTag>
      <w:r w:rsidRPr="00A77EA0">
        <w:rPr>
          <w:lang w:val="en-GB"/>
        </w:rPr>
        <w:t xml:space="preserve">, </w:t>
      </w:r>
      <w:smartTag w:uri="urn:schemas-microsoft-com:office:smarttags" w:element="country-region">
        <w:r w:rsidRPr="00A77EA0">
          <w:rPr>
            <w:lang w:val="en-GB"/>
          </w:rPr>
          <w:t>India</w:t>
        </w:r>
      </w:smartTag>
      <w:r w:rsidRPr="00A77EA0">
        <w:rPr>
          <w:lang w:val="en-GB"/>
        </w:rPr>
        <w:t xml:space="preserve">, </w:t>
      </w:r>
      <w:smartTag w:uri="urn:schemas-microsoft-com:office:smarttags" w:element="country-region">
        <w:r w:rsidRPr="00A77EA0">
          <w:rPr>
            <w:lang w:val="en-GB"/>
          </w:rPr>
          <w:t>Brazil</w:t>
        </w:r>
      </w:smartTag>
      <w:r w:rsidRPr="00A77EA0">
        <w:rPr>
          <w:lang w:val="en-GB"/>
        </w:rPr>
        <w:t xml:space="preserve"> and </w:t>
      </w:r>
      <w:smartTag w:uri="urn:schemas-microsoft-com:office:smarttags" w:element="place">
        <w:smartTag w:uri="urn:schemas-microsoft-com:office:smarttags" w:element="country-region">
          <w:r w:rsidRPr="00A77EA0">
            <w:rPr>
              <w:lang w:val="en-GB"/>
            </w:rPr>
            <w:t>Mexico</w:t>
          </w:r>
        </w:smartTag>
      </w:smartTag>
      <w:r>
        <w:rPr>
          <w:lang w:val="en-GB"/>
        </w:rPr>
        <w:t>. These</w:t>
      </w:r>
      <w:r w:rsidRPr="00A77EA0">
        <w:rPr>
          <w:lang w:val="en-GB"/>
        </w:rPr>
        <w:t xml:space="preserve"> </w:t>
      </w:r>
      <w:r w:rsidR="00E968A4">
        <w:rPr>
          <w:lang w:val="en-GB"/>
        </w:rPr>
        <w:t xml:space="preserve">countries </w:t>
      </w:r>
      <w:r w:rsidRPr="00A77EA0">
        <w:rPr>
          <w:lang w:val="en-GB"/>
        </w:rPr>
        <w:t xml:space="preserve">are expanding access to health care as their predominantly rural societies undergo rapid industrialisation and urbanisation, accompanied by rising standards of living, even if the benefits are unevenly shared. Europe, in contrast, is faced with the challenge of </w:t>
      </w:r>
      <w:r w:rsidR="00E968A4">
        <w:rPr>
          <w:lang w:val="en-GB"/>
        </w:rPr>
        <w:t xml:space="preserve">sustaining </w:t>
      </w:r>
      <w:r w:rsidRPr="00A77EA0">
        <w:rPr>
          <w:lang w:val="en-GB"/>
        </w:rPr>
        <w:t>comprehensive health systems while undergoing a process of deindustrialisation and, in many places, relative or absolute economic decline as manufacturing shifts to parts of the world where labour is cheaper. This challenge is being exacerbated by the current global financial crisis</w:t>
      </w:r>
      <w:r>
        <w:rPr>
          <w:lang w:val="en-GB"/>
        </w:rPr>
        <w:t xml:space="preserve"> </w:t>
      </w:r>
      <w:r w:rsidRPr="00A77EA0">
        <w:rPr>
          <w:lang w:val="en-GB"/>
        </w:rPr>
        <w:t xml:space="preserve">and by demographic changes, with falling birth rates, increasing life expectancy, and migration changing the pattern of disease and the ability of labour-intensive health and social services to respond. </w:t>
      </w:r>
    </w:p>
    <w:p w:rsidR="00436563" w:rsidRPr="00A77EA0" w:rsidRDefault="00436563" w:rsidP="00CF52FE">
      <w:pPr>
        <w:pStyle w:val="Plattetekst"/>
        <w:rPr>
          <w:lang w:val="en-GB"/>
        </w:rPr>
      </w:pPr>
      <w:r>
        <w:rPr>
          <w:lang w:val="en-GB"/>
        </w:rPr>
        <w:t xml:space="preserve">In this first paper we review patterns of health in the different parts of </w:t>
      </w:r>
      <w:smartTag w:uri="urn:schemas-microsoft-com:office:smarttags" w:element="place">
        <w:r>
          <w:rPr>
            <w:lang w:val="en-GB"/>
          </w:rPr>
          <w:t>Europe</w:t>
        </w:r>
      </w:smartTag>
      <w:r>
        <w:rPr>
          <w:lang w:val="en-GB"/>
        </w:rPr>
        <w:t xml:space="preserve">, charting successes and failures. The </w:t>
      </w:r>
      <w:r w:rsidRPr="00A77EA0">
        <w:rPr>
          <w:lang w:val="en-GB"/>
        </w:rPr>
        <w:t>remaining papers will explore some of the</w:t>
      </w:r>
      <w:r>
        <w:rPr>
          <w:lang w:val="en-GB"/>
        </w:rPr>
        <w:t>se</w:t>
      </w:r>
      <w:r w:rsidRPr="00A77EA0">
        <w:rPr>
          <w:lang w:val="en-GB"/>
        </w:rPr>
        <w:t xml:space="preserve"> issues in greater depth. </w:t>
      </w:r>
      <w:r>
        <w:rPr>
          <w:lang w:val="en-GB"/>
        </w:rPr>
        <w:t xml:space="preserve">The second paper looks at </w:t>
      </w:r>
      <w:r w:rsidRPr="00A77EA0">
        <w:rPr>
          <w:lang w:val="en-GB"/>
        </w:rPr>
        <w:t>the European project to build an ever closer union.</w:t>
      </w:r>
      <w:r w:rsidR="001D3206">
        <w:rPr>
          <w:lang w:val="en-GB"/>
        </w:rPr>
        <w:fldChar w:fldCharType="begin"/>
      </w:r>
      <w:r w:rsidR="00E968A4">
        <w:rPr>
          <w:lang w:val="en-GB"/>
        </w:rPr>
        <w:instrText xml:space="preserve"> ADDIN EN.CITE &lt;EndNote&gt;&lt;Cite ExcludeYear="1"&gt;&lt;Author&gt;Greer&lt;/Author&gt;&lt;RecNum&gt;86&lt;/RecNum&gt;&lt;record&gt;&lt;rec-number&gt;86&lt;/rec-number&gt;&lt;foreign-keys&gt;&lt;key app="EN" db-id="tss0rdex3zvparert03vs0prx5pspz50ftd5"&gt;86&lt;/key&gt;&lt;/foreign-keys&gt;&lt;ref-type name="Journal Article"&gt;17&lt;/ref-type&gt;&lt;contributors&gt;&lt;authors&gt;&lt;author&gt;Greer, Scott L.&lt;/author&gt;&lt;author&gt;Hervey, Tamara K.&lt;/author&gt;&lt;author&gt;Mackenbach,  Johan P.&lt;/author&gt;&lt;author&gt;McKee, Martin  &lt;/author&gt;&lt;/authors&gt;&lt;/contributors&gt;&lt;titles&gt;&lt;title&gt;Health Law and Policy in the European Union&lt;/title&gt;&lt;secondary-title&gt;Lancet&lt;/secondary-title&gt;&lt;/titles&gt;&lt;periodical&gt;&lt;full-title&gt;Lancet&lt;/full-title&gt;&lt;/periodical&gt;&lt;dates&gt;&lt;/dates&gt;&lt;urls&gt;&lt;/urls&gt;&lt;/record&gt;&lt;/Cite&gt;&lt;/EndNote&gt;</w:instrText>
      </w:r>
      <w:r w:rsidR="001D3206">
        <w:rPr>
          <w:lang w:val="en-GB"/>
        </w:rPr>
        <w:fldChar w:fldCharType="separate"/>
      </w:r>
      <w:r w:rsidR="00E968A4" w:rsidRPr="00E968A4">
        <w:rPr>
          <w:noProof/>
          <w:vertAlign w:val="superscript"/>
          <w:lang w:val="en-GB"/>
        </w:rPr>
        <w:t>2</w:t>
      </w:r>
      <w:r w:rsidR="001D3206">
        <w:rPr>
          <w:lang w:val="en-GB"/>
        </w:rPr>
        <w:fldChar w:fldCharType="end"/>
      </w:r>
      <w:r w:rsidRPr="00A77EA0">
        <w:rPr>
          <w:lang w:val="en-GB"/>
        </w:rPr>
        <w:t xml:space="preserve"> Many policies that impact on health are now decided collectively.</w:t>
      </w:r>
      <w:r w:rsidR="001D3206">
        <w:rPr>
          <w:lang w:val="en-GB"/>
        </w:rPr>
        <w:fldChar w:fldCharType="begin"/>
      </w:r>
      <w:r w:rsidR="009679B5">
        <w:rPr>
          <w:lang w:val="en-GB"/>
        </w:rPr>
        <w:instrText xml:space="preserve"> ADDIN EN.CITE &lt;EndNote&gt;&lt;Cite&gt;&lt;Author&gt;McKee&lt;/Author&gt;&lt;Year&gt;2002&lt;/Year&gt;&lt;RecNum&gt;34&lt;/RecNum&gt;&lt;DisplayText&gt;[2]&lt;/DisplayText&gt;&lt;record&gt;&lt;rec-number&gt;34&lt;/rec-number&gt;&lt;foreign-keys&gt;&lt;key app="EN" db-id="x0x5v9tejav5faewxt4xwrd5aav2xredt5zf"&gt;34&lt;/key&gt;&lt;/foreign-keys&gt;&lt;ref-type name="Book"&gt;6&lt;/ref-type&gt;&lt;contributors&gt;&lt;authors&gt;&lt;author&gt;McKee, Martin&lt;/author&gt;&lt;author&gt;Mossialos, Elias&lt;/author&gt;&lt;author&gt;Baeten, Rita&lt;/author&gt;&lt;/authors&gt;&lt;/contributors&gt;&lt;titles&gt;&lt;title&gt;The impact of EU law on health care systems&lt;/title&gt;&lt;/titles&gt;&lt;dates&gt;&lt;year&gt;2002&lt;/year&gt;&lt;/dates&gt;&lt;publisher&gt;P.I.E.-Peter Lang&lt;/publisher&gt;&lt;isbn&gt;9052011060 (pbk)&lt;/isbn&gt;&lt;accession-num&gt;G07943920&lt;/accession-num&gt;&lt;urls&gt;&lt;/urls&gt;&lt;/record&gt;&lt;/Cite&gt;&lt;/EndNote&gt;</w:instrText>
      </w:r>
      <w:r w:rsidR="001D3206">
        <w:rPr>
          <w:lang w:val="en-GB"/>
        </w:rPr>
        <w:fldChar w:fldCharType="separate"/>
      </w:r>
      <w:r w:rsidR="00E968A4" w:rsidRPr="00E968A4">
        <w:rPr>
          <w:noProof/>
          <w:vertAlign w:val="superscript"/>
          <w:lang w:val="en-GB"/>
        </w:rPr>
        <w:t>3</w:t>
      </w:r>
      <w:r w:rsidR="001D3206">
        <w:rPr>
          <w:lang w:val="en-GB"/>
        </w:rPr>
        <w:fldChar w:fldCharType="end"/>
      </w:r>
      <w:r w:rsidRPr="00A77EA0">
        <w:rPr>
          <w:lang w:val="en-GB"/>
        </w:rPr>
        <w:t xml:space="preserve"> This is inevitable, given the common challenges that the countries of Europe face and which, in a single market, can only be tackled through joint action. Yet, for many people, the workings of the European Union are a mystery, a situation not helped by the scant attention paid to it in some countries by the mass media, except, in some cases, to hold it responsible for all the evils in the world, both real and imagined. </w:t>
      </w:r>
    </w:p>
    <w:p w:rsidR="00436563" w:rsidRDefault="00436563" w:rsidP="00CF52FE">
      <w:pPr>
        <w:pStyle w:val="Plattetekst"/>
        <w:rPr>
          <w:lang w:val="en-GB"/>
        </w:rPr>
      </w:pPr>
      <w:r w:rsidRPr="00A77EA0">
        <w:rPr>
          <w:lang w:val="en-GB"/>
        </w:rPr>
        <w:t>The third paper looks at the countries that emerged from the break-up of the Soviet Union.</w:t>
      </w:r>
      <w:r w:rsidR="001D3206">
        <w:rPr>
          <w:lang w:val="en-GB"/>
        </w:rPr>
        <w:fldChar w:fldCharType="begin"/>
      </w:r>
      <w:r w:rsidR="00E968A4">
        <w:rPr>
          <w:lang w:val="en-GB"/>
        </w:rPr>
        <w:instrText xml:space="preserve"> ADDIN EN.CITE &lt;EndNote&gt;&lt;Cite ExcludeYear="1"&gt;&lt;Author&gt;Rechel&lt;/Author&gt;&lt;RecNum&gt;87&lt;/RecNum&gt;&lt;record&gt;&lt;rec-number&gt;87&lt;/rec-number&gt;&lt;foreign-keys&gt;&lt;key app="EN" db-id="tss0rdex3zvparert03vs0prx5pspz50ftd5"&gt;87&lt;/key&gt;&lt;/foreign-keys&gt;&lt;ref-type name="Journal Article"&gt;17&lt;/ref-type&gt;&lt;contributors&gt;&lt;authors&gt;&lt;author&gt;Rechel, Bernd&lt;/author&gt;&lt;author&gt;Roberts, Bayard&lt;/author&gt;&lt;author&gt;Richardson, Erica&lt;/author&gt;&lt;author&gt;Shishkin, Sergey&lt;/author&gt;&lt;author&gt;Shkolnikov, Vladimir M.&lt;/author&gt;&lt;author&gt;Leon,  David A.&lt;/author&gt;&lt;author&gt;Bobak, Martin&lt;/author&gt;&lt;author&gt;Karanikolos, Marina&lt;/author&gt;&lt;author&gt;McKee, Martin&lt;/author&gt;&lt;/authors&gt;&lt;/contributors&gt;&lt;titles&gt;&lt;title&gt;Health and health systems in the Commonwealth of Independent States&lt;/title&gt;&lt;secondary-title&gt;Lancet&lt;/secondary-title&gt;&lt;/titles&gt;&lt;periodical&gt;&lt;full-title&gt;Lancet&lt;/full-title&gt;&lt;/periodical&gt;&lt;dates&gt;&lt;/dates&gt;&lt;urls&gt;&lt;/urls&gt;&lt;/record&gt;&lt;/Cite&gt;&lt;/EndNote&gt;</w:instrText>
      </w:r>
      <w:r w:rsidR="001D3206">
        <w:rPr>
          <w:lang w:val="en-GB"/>
        </w:rPr>
        <w:fldChar w:fldCharType="separate"/>
      </w:r>
      <w:r w:rsidR="00E968A4" w:rsidRPr="00E968A4">
        <w:rPr>
          <w:noProof/>
          <w:vertAlign w:val="superscript"/>
          <w:lang w:val="en-GB"/>
        </w:rPr>
        <w:t>4</w:t>
      </w:r>
      <w:r w:rsidR="001D3206">
        <w:rPr>
          <w:lang w:val="en-GB"/>
        </w:rPr>
        <w:fldChar w:fldCharType="end"/>
      </w:r>
      <w:r w:rsidRPr="00A77EA0">
        <w:rPr>
          <w:lang w:val="en-GB"/>
        </w:rPr>
        <w:t xml:space="preserve"> These countries were united for most of the 20</w:t>
      </w:r>
      <w:r w:rsidRPr="00A77EA0">
        <w:rPr>
          <w:vertAlign w:val="superscript"/>
          <w:lang w:val="en-GB"/>
        </w:rPr>
        <w:t>th</w:t>
      </w:r>
      <w:r w:rsidRPr="00A77EA0">
        <w:rPr>
          <w:lang w:val="en-GB"/>
        </w:rPr>
        <w:t xml:space="preserve"> century. At the outset, the Soviet regime made health a priority but, by the 1960s, it was suffering from a combination of scientific isolation and diversion of resources to the military-industrial complex. Although the </w:t>
      </w:r>
      <w:smartTag w:uri="urn:schemas-microsoft-com:office:smarttags" w:element="place">
        <w:r w:rsidRPr="00A77EA0">
          <w:rPr>
            <w:lang w:val="en-GB"/>
          </w:rPr>
          <w:t>Soviet Union</w:t>
        </w:r>
      </w:smartTag>
      <w:r w:rsidRPr="00A77EA0">
        <w:rPr>
          <w:lang w:val="en-GB"/>
        </w:rPr>
        <w:t xml:space="preserve"> had some of the trappings of a superpower, with nuclear weapons and a major space programme, it neglected the health of its people. By the time it collapsed, life expectancy was plummeting, a situation only otherwise seen in wartime or as a consequence of the AIDS epidemic sweeping parts of Africa.</w:t>
      </w:r>
      <w:r w:rsidR="001D3206">
        <w:rPr>
          <w:lang w:val="en-GB"/>
        </w:rPr>
        <w:fldChar w:fldCharType="begin"/>
      </w:r>
      <w:r w:rsidR="009679B5">
        <w:rPr>
          <w:lang w:val="en-GB"/>
        </w:rPr>
        <w:instrText xml:space="preserve"> ADDIN EN.CITE &lt;EndNote&gt;&lt;Cite&gt;&lt;Author&gt;McMichael&lt;/Author&gt;&lt;Year&gt;2004&lt;/Year&gt;&lt;RecNum&gt;10&lt;/RecNum&gt;&lt;DisplayText&gt;[3]&lt;/DisplayText&gt;&lt;record&gt;&lt;rec-number&gt;10&lt;/rec-number&gt;&lt;foreign-keys&gt;&lt;key app="EN" db-id="x0x5v9tejav5faewxt4xwrd5aav2xredt5zf"&gt;10&lt;/key&gt;&lt;/foreign-keys&gt;&lt;ref-type name="Journal Article"&gt;17&lt;/ref-type&gt;&lt;contributors&gt;&lt;authors&gt;&lt;author&gt;McMichael, A. J.&lt;/author&gt;&lt;author&gt;McKee, M.&lt;/author&gt;&lt;author&gt;Shkolnikov, V.&lt;/author&gt;&lt;author&gt;Valkonen, T.&lt;/author&gt;&lt;/authors&gt;&lt;/contributors&gt;&lt;auth-address&gt;National Centre for Epidemiology and Population Health, The Australian National University, Canberra, ACT, Australia 0200. tony.mcmichael@anu.edu.au&lt;/auth-address&gt;&lt;titles&gt;&lt;title&gt;Mortality trends and setbacks: global convergence or divergence?&lt;/title&gt;&lt;secondary-title&gt;Lancet&lt;/secondary-title&gt;&lt;/titles&gt;&lt;periodical&gt;&lt;full-title&gt;Lancet&lt;/full-title&gt;&lt;abbr-1&gt;Lancet&lt;/abbr-1&gt;&lt;/periodical&gt;&lt;pages&gt;1155-9&lt;/pages&gt;&lt;volume&gt;363&lt;/volume&gt;&lt;number&gt;9415&lt;/number&gt;&lt;edition&gt;2004/04/06&lt;/edition&gt;&lt;keywords&gt;&lt;keyword&gt;Age Factors&lt;/keyword&gt;&lt;keyword&gt;Aged&lt;/keyword&gt;&lt;keyword&gt;Child&lt;/keyword&gt;&lt;keyword&gt;Developing Countries/statistics &amp;amp; numerical data&lt;/keyword&gt;&lt;keyword&gt;Female&lt;/keyword&gt;&lt;keyword&gt;Forecasting&lt;/keyword&gt;&lt;keyword&gt;*Health Status Indicators&lt;/keyword&gt;&lt;keyword&gt;Humans&lt;/keyword&gt;&lt;keyword&gt;Infant&lt;/keyword&gt;&lt;keyword&gt;Infant Mortality/trends&lt;/keyword&gt;&lt;keyword&gt;Kenya&lt;/keyword&gt;&lt;keyword&gt;Life Expectancy/*trends&lt;/keyword&gt;&lt;keyword&gt;Male&lt;/keyword&gt;&lt;keyword&gt;Marital Status&lt;/keyword&gt;&lt;keyword&gt;Mortality/*trends&lt;/keyword&gt;&lt;keyword&gt;Sex Factors&lt;/keyword&gt;&lt;keyword&gt;Social Change&lt;/keyword&gt;&lt;keyword&gt;World Health&lt;/keyword&gt;&lt;keyword&gt;World Health Organization&lt;/keyword&gt;&lt;/keywords&gt;&lt;dates&gt;&lt;year&gt;2004&lt;/year&gt;&lt;pub-dates&gt;&lt;date&gt;Apr 3&lt;/date&gt;&lt;/pub-dates&gt;&lt;/dates&gt;&lt;isbn&gt;1474-547X (Electronic)&amp;#xD;0140-6736 (Linking)&lt;/isbn&gt;&lt;accession-num&gt;15064037&lt;/accession-num&gt;&lt;urls&gt;&lt;related-urls&gt;&lt;url&gt;http://www.ncbi.nlm.nih.gov/pubmed/15064037&lt;/url&gt;&lt;/related-urls&gt;&lt;/urls&gt;&lt;electronic-resource-num&gt;10.1016/S0140-6736(04)15902-3&amp;#xD;S0140-6736(04)15902-3 [pii]&lt;/electronic-resource-num&gt;&lt;language&gt;eng&lt;/language&gt;&lt;/record&gt;&lt;/Cite&gt;&lt;/EndNote&gt;</w:instrText>
      </w:r>
      <w:r w:rsidR="001D3206">
        <w:rPr>
          <w:lang w:val="en-GB"/>
        </w:rPr>
        <w:fldChar w:fldCharType="separate"/>
      </w:r>
      <w:r w:rsidR="00E968A4" w:rsidRPr="00E968A4">
        <w:rPr>
          <w:noProof/>
          <w:vertAlign w:val="superscript"/>
          <w:lang w:val="en-GB"/>
        </w:rPr>
        <w:t>5</w:t>
      </w:r>
      <w:r w:rsidR="001D3206">
        <w:rPr>
          <w:lang w:val="en-GB"/>
        </w:rPr>
        <w:fldChar w:fldCharType="end"/>
      </w:r>
      <w:r w:rsidRPr="00A77EA0">
        <w:rPr>
          <w:lang w:val="en-GB"/>
        </w:rPr>
        <w:t xml:space="preserve"> </w:t>
      </w:r>
    </w:p>
    <w:p w:rsidR="00436563" w:rsidRDefault="00436563" w:rsidP="00CF52FE">
      <w:pPr>
        <w:pStyle w:val="Plattetekst"/>
        <w:rPr>
          <w:lang w:val="en-GB"/>
        </w:rPr>
      </w:pPr>
      <w:r w:rsidRPr="00A77EA0">
        <w:rPr>
          <w:lang w:val="en-GB"/>
        </w:rPr>
        <w:t>Three further papers examine the changing needs of different population groups in Europe today. The fourth considers children.</w:t>
      </w:r>
      <w:r w:rsidR="001D3206">
        <w:rPr>
          <w:lang w:val="en-GB"/>
        </w:rPr>
        <w:fldChar w:fldCharType="begin"/>
      </w:r>
      <w:r w:rsidR="00E968A4">
        <w:rPr>
          <w:lang w:val="en-GB"/>
        </w:rPr>
        <w:instrText xml:space="preserve"> ADDIN EN.CITE &lt;EndNote&gt;&lt;Cite ExcludeYear="1"&gt;&lt;Author&gt;Wolfe&lt;/Author&gt;&lt;RecNum&gt;88&lt;/RecNum&gt;&lt;record&gt;&lt;rec-number&gt;88&lt;/rec-number&gt;&lt;foreign-keys&gt;&lt;key app="EN" db-id="tss0rdex3zvparert03vs0prx5pspz50ftd5"&gt;88&lt;/key&gt;&lt;/foreign-keys&gt;&lt;ref-type name="Journal Article"&gt;17&lt;/ref-type&gt;&lt;contributors&gt;&lt;authors&gt;&lt;author&gt;Wolfe, Ingrid&lt;/author&gt;&lt;author&gt;Thompson, Matthew&lt;/author&gt;&lt;author&gt;Gill, Peter&lt;/author&gt;&lt;author&gt;Tamburlini, Giorgio&lt;/author&gt;&lt;author&gt;Blair, Mitch&lt;/author&gt;&lt;author&gt;van den Bruel, Ann&lt;/author&gt;&lt;author&gt;Ehrich, Jochen&lt;/author&gt;&lt;author&gt;Pettoello-Mantovani, Massimo&lt;/author&gt;&lt;author&gt;Janson, Staffan&lt;/author&gt;&lt;author&gt;Karanikolos, Marina&lt;/author&gt;&lt;author&gt;McKee, Martin&lt;/author&gt;&lt;/authors&gt;&lt;/contributors&gt;&lt;titles&gt;&lt;title&gt;Children’s health services in Europe &lt;/title&gt;&lt;secondary-title&gt;Lancet&lt;/secondary-title&gt;&lt;/titles&gt;&lt;periodical&gt;&lt;full-title&gt;Lancet&lt;/full-title&gt;&lt;/periodical&gt;&lt;dates&gt;&lt;/dates&gt;&lt;urls&gt;&lt;/urls&gt;&lt;/record&gt;&lt;/Cite&gt;&lt;/EndNote&gt;</w:instrText>
      </w:r>
      <w:r w:rsidR="001D3206">
        <w:rPr>
          <w:lang w:val="en-GB"/>
        </w:rPr>
        <w:fldChar w:fldCharType="separate"/>
      </w:r>
      <w:r w:rsidR="00E968A4" w:rsidRPr="00E968A4">
        <w:rPr>
          <w:noProof/>
          <w:vertAlign w:val="superscript"/>
          <w:lang w:val="en-GB"/>
        </w:rPr>
        <w:t>6</w:t>
      </w:r>
      <w:r w:rsidR="001D3206">
        <w:rPr>
          <w:lang w:val="en-GB"/>
        </w:rPr>
        <w:fldChar w:fldCharType="end"/>
      </w:r>
      <w:r w:rsidRPr="00A77EA0">
        <w:rPr>
          <w:lang w:val="en-GB"/>
        </w:rPr>
        <w:t xml:space="preserve"> The pattern of disease among children in Europe has </w:t>
      </w:r>
      <w:r w:rsidRPr="00A77EA0">
        <w:rPr>
          <w:lang w:val="en-GB"/>
        </w:rPr>
        <w:lastRenderedPageBreak/>
        <w:t xml:space="preserve">been transformed, especially as a consequence of progress against infectious disease. </w:t>
      </w:r>
      <w:r>
        <w:rPr>
          <w:lang w:val="en-GB"/>
        </w:rPr>
        <w:t>H</w:t>
      </w:r>
      <w:r w:rsidRPr="00A77EA0">
        <w:rPr>
          <w:lang w:val="en-GB"/>
        </w:rPr>
        <w:t xml:space="preserve">ealth professionals are </w:t>
      </w:r>
      <w:r>
        <w:rPr>
          <w:lang w:val="en-GB"/>
        </w:rPr>
        <w:t xml:space="preserve">now </w:t>
      </w:r>
      <w:r w:rsidRPr="00A77EA0">
        <w:rPr>
          <w:lang w:val="en-GB"/>
        </w:rPr>
        <w:t>caring for children with complex chronic diseases, such as juvenile onset diabetes, a condition whose incidence is rising substantially, genetic disorders, childhood cancers, and behavioural disorders such as autism. Health systems have responded in different ways, offering opportunities to learn from each others’ experiences.</w:t>
      </w:r>
      <w:r w:rsidR="001D3206">
        <w:rPr>
          <w:lang w:val="en-GB"/>
        </w:rPr>
        <w:fldChar w:fldCharType="begin"/>
      </w:r>
      <w:r w:rsidR="009679B5">
        <w:rPr>
          <w:lang w:val="en-GB"/>
        </w:rPr>
        <w:instrText xml:space="preserve"> ADDIN EN.CITE &lt;EndNote&gt;&lt;Cite&gt;&lt;Author&gt;Wolfe&lt;/Author&gt;&lt;Year&gt;2011&lt;/Year&gt;&lt;RecNum&gt;50&lt;/RecNum&gt;&lt;DisplayText&gt;[4]&lt;/DisplayText&gt;&lt;record&gt;&lt;rec-number&gt;50&lt;/rec-number&gt;&lt;foreign-keys&gt;&lt;key app="EN" db-id="x0x5v9tejav5faewxt4xwrd5aav2xredt5zf"&gt;50&lt;/key&gt;&lt;/foreign-keys&gt;&lt;ref-type name="Journal Article"&gt;17&lt;/ref-type&gt;&lt;contributors&gt;&lt;authors&gt;&lt;author&gt;Wolfe, I.&lt;/author&gt;&lt;author&gt;Cass, H.&lt;/author&gt;&lt;author&gt;Thompson, M. J.&lt;/author&gt;&lt;author&gt;Craft, A.&lt;/author&gt;&lt;author&gt;Peile, E.&lt;/author&gt;&lt;author&gt;Wiegersma, P. A.&lt;/author&gt;&lt;author&gt;Janson, S.&lt;/author&gt;&lt;author&gt;Chambers, T. L.&lt;/author&gt;&lt;author&gt;McKee, M.&lt;/author&gt;&lt;/authors&gt;&lt;/contributors&gt;&lt;auth-address&gt;London School of Hygiene and Tropical Medicine, London WC1E 7HT, UK. Ingrid.Wolfe@lshtm.ac.uk&lt;/auth-address&gt;&lt;titles&gt;&lt;title&gt;Improving child health services in the UK: insights from Europe and their implications for the NHS reforms&lt;/title&gt;&lt;secondary-title&gt;BMJ&lt;/secondary-title&gt;&lt;/titles&gt;&lt;periodical&gt;&lt;full-title&gt;BMJ&lt;/full-title&gt;&lt;/periodical&gt;&lt;pages&gt;d1277&lt;/pages&gt;&lt;volume&gt;342&lt;/volume&gt;&lt;edition&gt;2011/03/10&lt;/edition&gt;&lt;keywords&gt;&lt;keyword&gt;Adolescent&lt;/keyword&gt;&lt;keyword&gt;Child&lt;/keyword&gt;&lt;keyword&gt;Child Health Services/organization &amp;amp; administration/*standards&lt;/keyword&gt;&lt;keyword&gt;Child Mortality&lt;/keyword&gt;&lt;keyword&gt;Child, Preschool&lt;/keyword&gt;&lt;keyword&gt;Europe&lt;/keyword&gt;&lt;keyword&gt;Great Britain&lt;/keyword&gt;&lt;keyword&gt;*Health Care Reform&lt;/keyword&gt;&lt;keyword&gt;Humans&lt;/keyword&gt;&lt;keyword&gt;Infant&lt;/keyword&gt;&lt;keyword&gt;Needs Assessment&lt;/keyword&gt;&lt;keyword&gt;Quality of Health Care&lt;/keyword&gt;&lt;keyword&gt;State Medicine/organization &amp;amp; administration/*standards&lt;/keyword&gt;&lt;/keywords&gt;&lt;dates&gt;&lt;year&gt;2011&lt;/year&gt;&lt;/dates&gt;&lt;isbn&gt;1756-1833 (Electronic)&amp;#xD;0959-535X (Linking)&lt;/isbn&gt;&lt;accession-num&gt;21385800&lt;/accession-num&gt;&lt;urls&gt;&lt;related-urls&gt;&lt;url&gt;http://www.ncbi.nlm.nih.gov/entrez/query.fcgi?cmd=Retrieve&amp;amp;db=PubMed&amp;amp;dopt=Citation&amp;amp;list_uids=21385800&lt;/url&gt;&lt;/related-urls&gt;&lt;/urls&gt;&lt;language&gt;eng&lt;/language&gt;&lt;/record&gt;&lt;/Cite&gt;&lt;/EndNote&gt;</w:instrText>
      </w:r>
      <w:r w:rsidR="001D3206">
        <w:rPr>
          <w:lang w:val="en-GB"/>
        </w:rPr>
        <w:fldChar w:fldCharType="separate"/>
      </w:r>
      <w:r w:rsidR="00E968A4" w:rsidRPr="00E968A4">
        <w:rPr>
          <w:noProof/>
          <w:vertAlign w:val="superscript"/>
          <w:lang w:val="en-GB"/>
        </w:rPr>
        <w:t>7</w:t>
      </w:r>
      <w:r w:rsidR="001D3206">
        <w:rPr>
          <w:lang w:val="en-GB"/>
        </w:rPr>
        <w:fldChar w:fldCharType="end"/>
      </w:r>
      <w:r w:rsidRPr="00A77EA0">
        <w:rPr>
          <w:lang w:val="en-GB"/>
        </w:rPr>
        <w:t xml:space="preserve"> </w:t>
      </w:r>
    </w:p>
    <w:p w:rsidR="00436563" w:rsidRPr="00A77EA0" w:rsidRDefault="00436563" w:rsidP="00CF52FE">
      <w:pPr>
        <w:pStyle w:val="Plattetekst"/>
        <w:rPr>
          <w:lang w:val="en-GB"/>
        </w:rPr>
      </w:pPr>
      <w:r w:rsidRPr="00A77EA0">
        <w:rPr>
          <w:lang w:val="en-GB"/>
        </w:rPr>
        <w:t>The fifth paper examines how European governments are responding to increasing numbers of migrants.</w:t>
      </w:r>
      <w:r w:rsidR="001D3206">
        <w:rPr>
          <w:lang w:val="en-GB"/>
        </w:rPr>
        <w:fldChar w:fldCharType="begin"/>
      </w:r>
      <w:r w:rsidR="00E968A4">
        <w:rPr>
          <w:lang w:val="en-GB"/>
        </w:rPr>
        <w:instrText xml:space="preserve"> ADDIN EN.CITE &lt;EndNote&gt;&lt;Cite ExcludeYear="1"&gt;&lt;Author&gt;Rechel&lt;/Author&gt;&lt;RecNum&gt;89&lt;/RecNum&gt;&lt;record&gt;&lt;rec-number&gt;89&lt;/rec-number&gt;&lt;foreign-keys&gt;&lt;key app="EN" db-id="tss0rdex3zvparert03vs0prx5pspz50ftd5"&gt;89&lt;/key&gt;&lt;/foreign-keys&gt;&lt;ref-type name="Journal Article"&gt;17&lt;/ref-type&gt;&lt;contributors&gt;&lt;authors&gt;&lt;author&gt;Rechel, Bernd&lt;/author&gt;&lt;author&gt;Mladovsky, Philipa&lt;/author&gt;&lt;author&gt;Ingleby, David&lt;/author&gt;&lt;author&gt;Mackenbach, Johan&lt;/author&gt;&lt;author&gt;McKee, Martin&lt;/author&gt;&lt;/authors&gt;&lt;/contributors&gt;&lt;titles&gt;&lt;title&gt;Migration and health in an increasingly diverse Europe&lt;/title&gt;&lt;secondary-title&gt;Lancet&lt;/secondary-title&gt;&lt;/titles&gt;&lt;periodical&gt;&lt;full-title&gt;Lancet&lt;/full-title&gt;&lt;/periodical&gt;&lt;dates&gt;&lt;/dates&gt;&lt;urls&gt;&lt;/urls&gt;&lt;/record&gt;&lt;/Cite&gt;&lt;/EndNote&gt;</w:instrText>
      </w:r>
      <w:r w:rsidR="001D3206">
        <w:rPr>
          <w:lang w:val="en-GB"/>
        </w:rPr>
        <w:fldChar w:fldCharType="separate"/>
      </w:r>
      <w:r w:rsidR="00E968A4" w:rsidRPr="00E968A4">
        <w:rPr>
          <w:noProof/>
          <w:vertAlign w:val="superscript"/>
          <w:lang w:val="en-GB"/>
        </w:rPr>
        <w:t>8</w:t>
      </w:r>
      <w:r w:rsidR="001D3206">
        <w:rPr>
          <w:lang w:val="en-GB"/>
        </w:rPr>
        <w:fldChar w:fldCharType="end"/>
      </w:r>
      <w:r w:rsidRPr="00A77EA0">
        <w:rPr>
          <w:lang w:val="en-GB"/>
        </w:rPr>
        <w:t xml:space="preserve"> Europe needs migration to fill the gap left by declining birth rates. Yet migrants often face many disadvantages and, in many cases, outright discrimination.</w:t>
      </w:r>
      <w:r w:rsidR="001D3206">
        <w:rPr>
          <w:lang w:val="en-GB"/>
        </w:rPr>
        <w:fldChar w:fldCharType="begin"/>
      </w:r>
      <w:r w:rsidR="009679B5">
        <w:rPr>
          <w:lang w:val="en-GB"/>
        </w:rPr>
        <w:instrText xml:space="preserve"> ADDIN EN.CITE &lt;EndNote&gt;&lt;Cite&gt;&lt;Author&gt;Rechel&lt;/Author&gt;&lt;Year&gt;2011&lt;/Year&gt;&lt;RecNum&gt;47&lt;/RecNum&gt;&lt;DisplayText&gt;[5]&lt;/DisplayText&gt;&lt;record&gt;&lt;rec-number&gt;47&lt;/rec-number&gt;&lt;foreign-keys&gt;&lt;key app="EN" db-id="x0x5v9tejav5faewxt4xwrd5aav2xredt5zf"&gt;47&lt;/key&gt;&lt;/foreign-keys&gt;&lt;ref-type name="Edited Book"&gt;28&lt;/ref-type&gt;&lt;contributors&gt;&lt;authors&gt;&lt;author&gt;Rechel, B.&lt;/author&gt;&lt;author&gt;Mladovsky, P.&lt;/author&gt;&lt;author&gt;Devillé, W.&lt;/author&gt;&lt;author&gt;Rijks, B.&lt;/author&gt;&lt;author&gt;Petrova-Benedict, R.&lt;/author&gt;&lt;author&gt;McKee, M.&lt;/author&gt;&lt;/authors&gt;&lt;/contributors&gt;&lt;titles&gt;&lt;title&gt; Migration and health in the European Union&lt;/title&gt;&lt;/titles&gt;&lt;dates&gt;&lt;year&gt;2011&lt;/year&gt;&lt;/dates&gt;&lt;pub-location&gt;Buckingham&lt;/pub-location&gt;&lt;publisher&gt;Open University Press&lt;/publisher&gt;&lt;urls&gt;&lt;/urls&gt;&lt;/record&gt;&lt;/Cite&gt;&lt;/EndNote&gt;</w:instrText>
      </w:r>
      <w:r w:rsidR="001D3206">
        <w:rPr>
          <w:lang w:val="en-GB"/>
        </w:rPr>
        <w:fldChar w:fldCharType="separate"/>
      </w:r>
      <w:r w:rsidR="00E968A4" w:rsidRPr="00E968A4">
        <w:rPr>
          <w:noProof/>
          <w:vertAlign w:val="superscript"/>
          <w:lang w:val="en-GB"/>
        </w:rPr>
        <w:t>9</w:t>
      </w:r>
      <w:r w:rsidR="001D3206">
        <w:rPr>
          <w:lang w:val="en-GB"/>
        </w:rPr>
        <w:fldChar w:fldCharType="end"/>
      </w:r>
      <w:r w:rsidRPr="00A77EA0">
        <w:rPr>
          <w:lang w:val="en-GB"/>
        </w:rPr>
        <w:t xml:space="preserve"> This paper will provide an opportunity to draw on experience of good practice from across Europe. </w:t>
      </w:r>
    </w:p>
    <w:p w:rsidR="00436563" w:rsidRPr="00A77EA0" w:rsidRDefault="00436563" w:rsidP="00CF52FE">
      <w:pPr>
        <w:pStyle w:val="Plattetekst"/>
        <w:rPr>
          <w:lang w:val="en-GB"/>
        </w:rPr>
      </w:pPr>
      <w:r w:rsidRPr="00A77EA0">
        <w:rPr>
          <w:lang w:val="en-GB"/>
        </w:rPr>
        <w:t>The sixth paper looks at older Europeans.</w:t>
      </w:r>
      <w:r w:rsidR="001D3206">
        <w:rPr>
          <w:lang w:val="en-GB"/>
        </w:rPr>
        <w:fldChar w:fldCharType="begin"/>
      </w:r>
      <w:r w:rsidR="00E968A4">
        <w:rPr>
          <w:lang w:val="en-GB"/>
        </w:rPr>
        <w:instrText xml:space="preserve"> ADDIN EN.CITE &lt;EndNote&gt;&lt;Cite ExcludeYear="1"&gt;&lt;Author&gt;Rechel&lt;/Author&gt;&lt;RecNum&gt;90&lt;/RecNum&gt;&lt;record&gt;&lt;rec-number&gt;90&lt;/rec-number&gt;&lt;foreign-keys&gt;&lt;key app="EN" db-id="tss0rdex3zvparert03vs0prx5pspz50ftd5"&gt;90&lt;/key&gt;&lt;/foreign-keys&gt;&lt;ref-type name="Journal Article"&gt;17&lt;/ref-type&gt;&lt;contributors&gt;&lt;authors&gt;&lt;author&gt;Rechel, Bernd&lt;/author&gt;&lt;author&gt;Grundy, Emily&lt;/author&gt;&lt;author&gt;Robine, Jean-Marie&lt;/author&gt;&lt;author&gt;Cylus, Jon&lt;/author&gt;&lt;author&gt;Mackenbach, Johan P&lt;/author&gt;&lt;author&gt;Knai, Cecile&lt;/author&gt;&lt;author&gt;McKee, Martin&lt;/author&gt;&lt;/authors&gt;&lt;/contributors&gt;&lt;titles&gt;&lt;title&gt;Ageing in the European Union&lt;/title&gt;&lt;secondary-title&gt;Lancet&lt;/secondary-title&gt;&lt;/titles&gt;&lt;periodical&gt;&lt;full-title&gt;Lancet&lt;/full-title&gt;&lt;/periodical&gt;&lt;dates&gt;&lt;/dates&gt;&lt;urls&gt;&lt;/urls&gt;&lt;/record&gt;&lt;/Cite&gt;&lt;/EndNote&gt;</w:instrText>
      </w:r>
      <w:r w:rsidR="001D3206">
        <w:rPr>
          <w:lang w:val="en-GB"/>
        </w:rPr>
        <w:fldChar w:fldCharType="separate"/>
      </w:r>
      <w:r w:rsidR="00E968A4" w:rsidRPr="00E968A4">
        <w:rPr>
          <w:noProof/>
          <w:vertAlign w:val="superscript"/>
          <w:lang w:val="en-GB"/>
        </w:rPr>
        <w:t>10</w:t>
      </w:r>
      <w:r w:rsidR="001D3206">
        <w:rPr>
          <w:lang w:val="en-GB"/>
        </w:rPr>
        <w:fldChar w:fldCharType="end"/>
      </w:r>
      <w:r w:rsidRPr="00A77EA0">
        <w:rPr>
          <w:lang w:val="en-GB"/>
        </w:rPr>
        <w:t xml:space="preserve"> Improvements in living conditions, healthier lifestyles, and improved health care mean that Europeans are living longer than ever. This brings many opportunities for people to contribute to society for much longer. Yet it also brings challenges, as health services are confronted by more people surviving with complex chronic diseases.</w:t>
      </w:r>
      <w:r w:rsidR="001D3206">
        <w:rPr>
          <w:lang w:val="en-GB"/>
        </w:rPr>
        <w:fldChar w:fldCharType="begin"/>
      </w:r>
      <w:r w:rsidR="009679B5">
        <w:rPr>
          <w:lang w:val="en-GB"/>
        </w:rPr>
        <w:instrText xml:space="preserve"> ADDIN EN.CITE &lt;EndNote&gt;&lt;Cite&gt;&lt;Author&gt;Doyle&lt;/Author&gt;&lt;Year&gt;2009&lt;/Year&gt;&lt;RecNum&gt;48&lt;/RecNum&gt;&lt;DisplayText&gt;[6]&lt;/DisplayText&gt;&lt;record&gt;&lt;rec-number&gt;48&lt;/rec-number&gt;&lt;foreign-keys&gt;&lt;key app="EN" db-id="x0x5v9tejav5faewxt4xwrd5aav2xredt5zf"&gt;48&lt;/key&gt;&lt;/foreign-keys&gt;&lt;ref-type name="Journal Article"&gt;17&lt;/ref-type&gt;&lt;contributors&gt;&lt;authors&gt;&lt;author&gt;Doyle, Y.&lt;/author&gt;&lt;author&gt;McKee, M.&lt;/author&gt;&lt;author&gt;Rechel, B.&lt;/author&gt;&lt;author&gt;Grundy, E.&lt;/author&gt;&lt;/authors&gt;&lt;/contributors&gt;&lt;auth-address&gt;NHS South East Coast, Horley, Surrey RH6 7DE. yvonne.doyle@southeastcoast.nhs.uk&lt;/auth-address&gt;&lt;titles&gt;&lt;title&gt;Meeting the challenge of population ageing&lt;/title&gt;&lt;secondary-title&gt;BMJ&lt;/secondary-title&gt;&lt;/titles&gt;&lt;periodical&gt;&lt;full-title&gt;BMJ&lt;/full-title&gt;&lt;/periodical&gt;&lt;pages&gt;b3926&lt;/pages&gt;&lt;volume&gt;339&lt;/volume&gt;&lt;edition&gt;2009/10/07&lt;/edition&gt;&lt;keywords&gt;&lt;keyword&gt;Aged&lt;/keyword&gt;&lt;keyword&gt;*Aging&lt;/keyword&gt;&lt;keyword&gt;Employment/trends&lt;/keyword&gt;&lt;keyword&gt;Europe&lt;/keyword&gt;&lt;keyword&gt;Female&lt;/keyword&gt;&lt;keyword&gt;Health Status&lt;/keyword&gt;&lt;keyword&gt;Humans&lt;/keyword&gt;&lt;keyword&gt;Life Expectancy&lt;/keyword&gt;&lt;keyword&gt;Male&lt;/keyword&gt;&lt;keyword&gt;Middle Aged&lt;/keyword&gt;&lt;keyword&gt;Population Dynamics&lt;/keyword&gt;&lt;keyword&gt;Quality of Life&lt;/keyword&gt;&lt;keyword&gt;Retirement&lt;/keyword&gt;&lt;keyword&gt;*Social Welfare&lt;/keyword&gt;&lt;/keywords&gt;&lt;dates&gt;&lt;year&gt;2009&lt;/year&gt;&lt;/dates&gt;&lt;isbn&gt;1756-1833 (Electronic)&amp;#xD;0959-535X (Linking)&lt;/isbn&gt;&lt;accession-num&gt;19805472&lt;/accession-num&gt;&lt;urls&gt;&lt;related-urls&gt;&lt;url&gt;http://www.ncbi.nlm.nih.gov/entrez/query.fcgi?cmd=Retrieve&amp;amp;db=PubMed&amp;amp;dopt=Citation&amp;amp;list_uids=19805472&lt;/url&gt;&lt;/related-urls&gt;&lt;/urls&gt;&lt;language&gt;eng&lt;/language&gt;&lt;/record&gt;&lt;/Cite&gt;&lt;/EndNote&gt;</w:instrText>
      </w:r>
      <w:r w:rsidR="001D3206">
        <w:rPr>
          <w:lang w:val="en-GB"/>
        </w:rPr>
        <w:fldChar w:fldCharType="separate"/>
      </w:r>
      <w:r w:rsidR="00E968A4" w:rsidRPr="00E968A4">
        <w:rPr>
          <w:noProof/>
          <w:vertAlign w:val="superscript"/>
          <w:lang w:val="en-GB"/>
        </w:rPr>
        <w:t>11</w:t>
      </w:r>
      <w:r w:rsidR="001D3206">
        <w:rPr>
          <w:lang w:val="en-GB"/>
        </w:rPr>
        <w:fldChar w:fldCharType="end"/>
      </w:r>
    </w:p>
    <w:p w:rsidR="00436563" w:rsidRDefault="00436563" w:rsidP="00CF52FE">
      <w:pPr>
        <w:pStyle w:val="Plattetekst"/>
        <w:rPr>
          <w:lang w:val="en-GB"/>
        </w:rPr>
      </w:pPr>
      <w:r w:rsidRPr="00A77EA0">
        <w:rPr>
          <w:lang w:val="en-GB"/>
        </w:rPr>
        <w:t>The final paper in the series addresses an issue that has dominated media coverage of Europe for the past four years, the impact of the global economic crisis.</w:t>
      </w:r>
      <w:r w:rsidR="001D3206">
        <w:rPr>
          <w:lang w:val="en-GB"/>
        </w:rPr>
        <w:fldChar w:fldCharType="begin"/>
      </w:r>
      <w:r w:rsidR="00E968A4">
        <w:rPr>
          <w:lang w:val="en-GB"/>
        </w:rPr>
        <w:instrText xml:space="preserve"> ADDIN EN.CITE &lt;EndNote&gt;&lt;Cite ExcludeYear="1"&gt;&lt;Author&gt;Karanikolos&lt;/Author&gt;&lt;RecNum&gt;91&lt;/RecNum&gt;&lt;record&gt;&lt;rec-number&gt;91&lt;/rec-number&gt;&lt;foreign-keys&gt;&lt;key app="EN" db-id="tss0rdex3zvparert03vs0prx5pspz50ftd5"&gt;91&lt;/key&gt;&lt;/foreign-keys&gt;&lt;ref-type name="Journal Article"&gt;17&lt;/ref-type&gt;&lt;contributors&gt;&lt;authors&gt;&lt;author&gt;Karanikolos, Marina&lt;/author&gt;&lt;author&gt;Mladovsky, Philipa&lt;/author&gt;&lt;author&gt;Cylus, Jonathan&lt;/author&gt;&lt;author&gt;Thomson, Sarah&lt;/author&gt;&lt;author&gt;Basu, Sanjay&lt;/author&gt;&lt;author&gt;Stuckler, David&lt;/author&gt;&lt;author&gt;Mackenbach, Johan P&lt;/author&gt;&lt;author&gt;McKee, Martin&lt;/author&gt;&lt;/authors&gt;&lt;/contributors&gt;&lt;titles&gt;&lt;title&gt;Financial crisis, austerity, and health in Europe&lt;/title&gt;&lt;secondary-title&gt;Lancet&lt;/secondary-title&gt;&lt;/titles&gt;&lt;periodical&gt;&lt;full-title&gt;Lancet&lt;/full-title&gt;&lt;/periodical&gt;&lt;dates&gt;&lt;/dates&gt;&lt;urls&gt;&lt;/urls&gt;&lt;/record&gt;&lt;/Cite&gt;&lt;/EndNote&gt;</w:instrText>
      </w:r>
      <w:r w:rsidR="001D3206">
        <w:rPr>
          <w:lang w:val="en-GB"/>
        </w:rPr>
        <w:fldChar w:fldCharType="separate"/>
      </w:r>
      <w:r w:rsidR="00E968A4" w:rsidRPr="00E968A4">
        <w:rPr>
          <w:noProof/>
          <w:vertAlign w:val="superscript"/>
          <w:lang w:val="en-GB"/>
        </w:rPr>
        <w:t>12</w:t>
      </w:r>
      <w:r w:rsidR="001D3206">
        <w:rPr>
          <w:lang w:val="en-GB"/>
        </w:rPr>
        <w:fldChar w:fldCharType="end"/>
      </w:r>
      <w:r w:rsidRPr="00A77EA0">
        <w:rPr>
          <w:lang w:val="en-GB"/>
        </w:rPr>
        <w:t xml:space="preserve"> Some countries have been affected much more than others, in particular the so-called PIGS, Portugal, Ireland, Greece and Spain. Yet the crisis has implications for nearly all countries in Europe, whether as recipients or donors of funds to support Europe’s ailing economies or as major trading partners. Many of the policy responses have been characterised by austerity and this paper will examine how they impact on health and health services. </w:t>
      </w:r>
    </w:p>
    <w:p w:rsidR="00436563" w:rsidRPr="00493A70" w:rsidRDefault="00436563" w:rsidP="00EC5CB8">
      <w:pPr>
        <w:pStyle w:val="Kop2"/>
      </w:pPr>
      <w:r w:rsidRPr="00493A70">
        <w:t>Improvements and setbacks, convergences and divergences</w:t>
      </w:r>
    </w:p>
    <w:p w:rsidR="00436563" w:rsidRPr="00493A70" w:rsidRDefault="00436563" w:rsidP="003C7488">
      <w:pPr>
        <w:pStyle w:val="Plattetekst"/>
        <w:rPr>
          <w:lang w:val="en-GB"/>
        </w:rPr>
      </w:pPr>
      <w:r w:rsidRPr="00493A70">
        <w:rPr>
          <w:lang w:val="en-GB"/>
        </w:rPr>
        <w:t>The political divisions of Europe are immediately apparent in its patterns of mortality. The countries of western Europe have experienced sustained improvements in life expectancy throughout the last 50 years,</w:t>
      </w:r>
      <w:r w:rsidR="001D3206">
        <w:rPr>
          <w:lang w:val="en-GB"/>
        </w:rPr>
        <w:fldChar w:fldCharType="begin"/>
      </w:r>
      <w:r w:rsidR="009679B5">
        <w:rPr>
          <w:lang w:val="en-GB"/>
        </w:rPr>
        <w:instrText xml:space="preserve"> ADDIN EN.CITE &lt;EndNote&gt;&lt;Cite&gt;&lt;Author&gt;McMichael&lt;/Author&gt;&lt;Year&gt;2004&lt;/Year&gt;&lt;RecNum&gt;10&lt;/RecNum&gt;&lt;DisplayText&gt;[3]&lt;/DisplayText&gt;&lt;record&gt;&lt;rec-number&gt;10&lt;/rec-number&gt;&lt;foreign-keys&gt;&lt;key app="EN" db-id="x0x5v9tejav5faewxt4xwrd5aav2xredt5zf"&gt;10&lt;/key&gt;&lt;/foreign-keys&gt;&lt;ref-type name="Journal Article"&gt;17&lt;/ref-type&gt;&lt;contributors&gt;&lt;authors&gt;&lt;author&gt;McMichael, A. J.&lt;/author&gt;&lt;author&gt;McKee, M.&lt;/author&gt;&lt;author&gt;Shkolnikov, V.&lt;/author&gt;&lt;author&gt;Valkonen, T.&lt;/author&gt;&lt;/authors&gt;&lt;/contributors&gt;&lt;auth-address&gt;National Centre for Epidemiology and Population Health, The Australian National University, Canberra, ACT, Australia 0200. tony.mcmichael@anu.edu.au&lt;/auth-address&gt;&lt;titles&gt;&lt;title&gt;Mortality trends and setbacks: global convergence or divergence?&lt;/title&gt;&lt;secondary-title&gt;Lancet&lt;/secondary-title&gt;&lt;/titles&gt;&lt;periodical&gt;&lt;full-title&gt;Lancet&lt;/full-title&gt;&lt;abbr-1&gt;Lancet&lt;/abbr-1&gt;&lt;/periodical&gt;&lt;pages&gt;1155-9&lt;/pages&gt;&lt;volume&gt;363&lt;/volume&gt;&lt;number&gt;9415&lt;/number&gt;&lt;edition&gt;2004/04/06&lt;/edition&gt;&lt;keywords&gt;&lt;keyword&gt;Age Factors&lt;/keyword&gt;&lt;keyword&gt;Aged&lt;/keyword&gt;&lt;keyword&gt;Child&lt;/keyword&gt;&lt;keyword&gt;Developing Countries/statistics &amp;amp; numerical data&lt;/keyword&gt;&lt;keyword&gt;Female&lt;/keyword&gt;&lt;keyword&gt;Forecasting&lt;/keyword&gt;&lt;keyword&gt;*Health Status Indicators&lt;/keyword&gt;&lt;keyword&gt;Humans&lt;/keyword&gt;&lt;keyword&gt;Infant&lt;/keyword&gt;&lt;keyword&gt;Infant Mortality/trends&lt;/keyword&gt;&lt;keyword&gt;Kenya&lt;/keyword&gt;&lt;keyword&gt;Life Expectancy/*trends&lt;/keyword&gt;&lt;keyword&gt;Male&lt;/keyword&gt;&lt;keyword&gt;Marital Status&lt;/keyword&gt;&lt;keyword&gt;Mortality/*trends&lt;/keyword&gt;&lt;keyword&gt;Sex Factors&lt;/keyword&gt;&lt;keyword&gt;Social Change&lt;/keyword&gt;&lt;keyword&gt;World Health&lt;/keyword&gt;&lt;keyword&gt;World Health Organization&lt;/keyword&gt;&lt;/keywords&gt;&lt;dates&gt;&lt;year&gt;2004&lt;/year&gt;&lt;pub-dates&gt;&lt;date&gt;Apr 3&lt;/date&gt;&lt;/pub-dates&gt;&lt;/dates&gt;&lt;isbn&gt;1474-547X (Electronic)&amp;#xD;0140-6736 (Linking)&lt;/isbn&gt;&lt;accession-num&gt;15064037&lt;/accession-num&gt;&lt;urls&gt;&lt;related-urls&gt;&lt;url&gt;http://www.ncbi.nlm.nih.gov/pubmed/15064037&lt;/url&gt;&lt;/related-urls&gt;&lt;/urls&gt;&lt;electronic-resource-num&gt;10.1016/S0140-6736(04)15902-3&amp;#xD;S0140-6736(04)15902-3 [pii]&lt;/electronic-resource-num&gt;&lt;language&gt;eng&lt;/language&gt;&lt;/record&gt;&lt;/Cite&gt;&lt;/EndNote&gt;</w:instrText>
      </w:r>
      <w:r w:rsidR="001D3206">
        <w:rPr>
          <w:lang w:val="en-GB"/>
        </w:rPr>
        <w:fldChar w:fldCharType="separate"/>
      </w:r>
      <w:r w:rsidR="00E968A4" w:rsidRPr="00E968A4">
        <w:rPr>
          <w:noProof/>
          <w:vertAlign w:val="superscript"/>
          <w:lang w:val="en-GB"/>
        </w:rPr>
        <w:t>5</w:t>
      </w:r>
      <w:r w:rsidR="001D3206">
        <w:rPr>
          <w:lang w:val="en-GB"/>
        </w:rPr>
        <w:fldChar w:fldCharType="end"/>
      </w:r>
      <w:r w:rsidRPr="00493A70">
        <w:t xml:space="preserve"> (Figure 1a)</w:t>
      </w:r>
      <w:r w:rsidRPr="00493A70">
        <w:rPr>
          <w:lang w:val="en-GB"/>
        </w:rPr>
        <w:t xml:space="preserve"> despite occasional short-term stagnation or even reversal of mortality decline in some age groups, such as among young Spanish men in the 1980s (due largely to injuries and HIV/AIDS)</w:t>
      </w:r>
      <w:r w:rsidR="001D3206">
        <w:rPr>
          <w:lang w:val="en-GB"/>
        </w:rPr>
        <w:fldChar w:fldCharType="begin"/>
      </w:r>
      <w:r w:rsidR="00E968A4">
        <w:rPr>
          <w:lang w:val="en-GB"/>
        </w:rPr>
        <w:instrText xml:space="preserve"> ADDIN EN.CITE &lt;EndNote&gt;&lt;Cite&gt;&lt;Author&gt;Chenet&lt;/Author&gt;&lt;Year&gt;1997&lt;/Year&gt;&lt;RecNum&gt;8&lt;/RecNum&gt;&lt;record&gt;&lt;rec-number&gt;8&lt;/rec-number&gt;&lt;foreign-keys&gt;&lt;key app="EN" db-id="tss0rdex3zvparert03vs0prx5pspz50ftd5"&gt;8&lt;/key&gt;&lt;/foreign-keys&gt;&lt;ref-type name="Journal Article"&gt;17&lt;/ref-type&gt;&lt;contributors&gt;&lt;authors&gt;&lt;author&gt;Chenet, L.&lt;/author&gt;&lt;author&gt;McKee, M.&lt;/author&gt;&lt;author&gt;Otero, A.&lt;/author&gt;&lt;author&gt;Ausin, I.&lt;/author&gt;&lt;/authors&gt;&lt;/contributors&gt;&lt;auth-address&gt;European Centre on Health of Societies in Transition, London School of Hygiene and Tropical Medicine.&lt;/auth-address&gt;&lt;titles&gt;&lt;title&gt;What happened to life expectancy in Spain in the 1980s?&lt;/title&gt;&lt;secondary-title&gt;J Epidemiol Community Health&lt;/secondary-title&gt;&lt;/titles&gt;&lt;periodical&gt;&lt;full-title&gt;J Epidemiol Community Health&lt;/full-title&gt;&lt;/periodical&gt;&lt;pages&gt;510-4&lt;/pages&gt;&lt;volume&gt;51&lt;/volume&gt;&lt;number&gt;5&lt;/number&gt;&lt;edition&gt;1998/01/13&lt;/edition&gt;&lt;keywords&gt;&lt;keyword&gt;Accidents/mortality/trends&lt;/keyword&gt;&lt;keyword&gt;Acquired Immunodeficiency Syndrome/mortality&lt;/keyword&gt;&lt;keyword&gt;Adolescent&lt;/keyword&gt;&lt;keyword&gt;Adult&lt;/keyword&gt;&lt;keyword&gt;Age Factors&lt;/keyword&gt;&lt;keyword&gt;Aged&lt;/keyword&gt;&lt;keyword&gt;Cardiovascular Diseases/mortality&lt;/keyword&gt;&lt;keyword&gt;Cause of Death/*trends&lt;/keyword&gt;&lt;keyword&gt;Child&lt;/keyword&gt;&lt;keyword&gt;Child, Preschool&lt;/keyword&gt;&lt;keyword&gt;Female&lt;/keyword&gt;&lt;keyword&gt;Humans&lt;/keyword&gt;&lt;keyword&gt;Infant&lt;/keyword&gt;&lt;keyword&gt;Infant, Newborn&lt;/keyword&gt;&lt;keyword&gt;Life Expectancy/*trends&lt;/keyword&gt;&lt;keyword&gt;Male&lt;/keyword&gt;&lt;keyword&gt;Middle Aged&lt;/keyword&gt;&lt;keyword&gt;Respiratory Tract Neoplasms/mortality&lt;/keyword&gt;&lt;keyword&gt;Sex Factors&lt;/keyword&gt;&lt;keyword&gt;Spain/epidemiology&lt;/keyword&gt;&lt;/keywords&gt;&lt;dates&gt;&lt;year&gt;1997&lt;/year&gt;&lt;pub-dates&gt;&lt;date&gt;Oct&lt;/date&gt;&lt;/pub-dates&gt;&lt;/dates&gt;&lt;isbn&gt;0143-005X (Print)&amp;#xD;0143-005X (Linking)&lt;/isbn&gt;&lt;accession-num&gt;9425460&lt;/accession-num&gt;&lt;urls&gt;&lt;related-urls&gt;&lt;url&gt;http://www.ncbi.nlm.nih.gov/pubmed/9425460&lt;/url&gt;&lt;/related-urls&gt;&lt;/urls&gt;&lt;custom2&gt;1060536&lt;/custom2&gt;&lt;language&gt;eng&lt;/language&gt;&lt;/record&gt;&lt;/Cite&gt;&lt;/EndNote&gt;</w:instrText>
      </w:r>
      <w:r w:rsidR="001D3206">
        <w:rPr>
          <w:lang w:val="en-GB"/>
        </w:rPr>
        <w:fldChar w:fldCharType="separate"/>
      </w:r>
      <w:r w:rsidR="00E968A4" w:rsidRPr="00E968A4">
        <w:rPr>
          <w:noProof/>
          <w:vertAlign w:val="superscript"/>
          <w:lang w:val="en-GB"/>
        </w:rPr>
        <w:t>13</w:t>
      </w:r>
      <w:r w:rsidR="001D3206">
        <w:rPr>
          <w:lang w:val="en-GB"/>
        </w:rPr>
        <w:fldChar w:fldCharType="end"/>
      </w:r>
      <w:r w:rsidRPr="00493A70">
        <w:rPr>
          <w:lang w:val="en-GB"/>
        </w:rPr>
        <w:t xml:space="preserve"> and among women in Denmark and the Netherlands in the 1990s (due to a peak in smoking-related deaths).</w:t>
      </w:r>
      <w:r w:rsidR="001D3206">
        <w:rPr>
          <w:lang w:val="en-GB"/>
        </w:rPr>
        <w:fldChar w:fldCharType="begin">
          <w:fldData xml:space="preserve">PEVuZE5vdGU+PENpdGU+PEF1dGhvcj5KYW5zc2VuPC9BdXRob3I+PFllYXI+MjAwNDwvWWVhcj48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==
</w:fldData>
        </w:fldChar>
      </w:r>
      <w:r w:rsidR="00E968A4">
        <w:rPr>
          <w:lang w:val="en-GB"/>
        </w:rPr>
        <w:instrText xml:space="preserve"> ADDIN EN.CITE </w:instrText>
      </w:r>
      <w:r w:rsidR="001D3206">
        <w:rPr>
          <w:lang w:val="en-GB"/>
        </w:rPr>
        <w:fldChar w:fldCharType="begin">
          <w:fldData xml:space="preserve">PEVuZE5vdGU+PENpdGU+PEF1dGhvcj5KYW5zc2VuPC9BdXRob3I+PFllYXI+MjAwNDwvWWVhcj48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==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14-15</w:t>
      </w:r>
      <w:r w:rsidR="001D3206">
        <w:rPr>
          <w:lang w:val="en-GB"/>
        </w:rPr>
        <w:fldChar w:fldCharType="end"/>
      </w:r>
      <w:r w:rsidRPr="00493A70">
        <w:rPr>
          <w:lang w:val="en-GB"/>
        </w:rPr>
        <w:t xml:space="preserve"> The overall pattern within Western Europe is one of convergence of life expectancy, with slightly faster progress in countries that were still lagging behind in 1960, such as Finland and Portugal.</w:t>
      </w:r>
      <w:r w:rsidR="001D3206">
        <w:rPr>
          <w:lang w:val="en-GB"/>
        </w:rPr>
        <w:fldChar w:fldCharType="begin"/>
      </w:r>
      <w:r w:rsidR="009679B5">
        <w:rPr>
          <w:lang w:val="en-GB"/>
        </w:rPr>
        <w:instrText xml:space="preserve"> ADDIN EN.CITE &lt;EndNote&gt;&lt;Cite&gt;&lt;Author&gt;Leon&lt;/Author&gt;&lt;Year&gt;2011&lt;/Year&gt;&lt;RecNum&gt;97&lt;/RecNum&gt;&lt;DisplayText&gt;[10]&lt;/DisplayText&gt;&lt;record&gt;&lt;rec-number&gt;97&lt;/rec-number&gt;&lt;foreign-keys&gt;&lt;key app="EN" db-id="x0x5v9tejav5faewxt4xwrd5aav2xredt5zf"&gt;97&lt;/key&gt;&lt;/foreign-keys&gt;&lt;ref-type name="Journal Article"&gt;17&lt;/ref-type&gt;&lt;contributors&gt;&lt;authors&gt;&lt;author&gt;Leon, D. A.&lt;/author&gt;&lt;/authors&gt;&lt;/contributors&gt;&lt;titles&gt;&lt;title&gt;Trends in European life expectancy: a salutary view&lt;/title&gt;&lt;secondary-title&gt;Int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271-7&lt;/pages&gt;&lt;volume&gt;40&lt;/volume&gt;&lt;number&gt;2&lt;/number&gt;&lt;edition&gt;2011/03/19&lt;/edition&gt;&lt;keywords&gt;&lt;keyword&gt;Europe&lt;/keyword&gt;&lt;keyword&gt;Female&lt;/keyword&gt;&lt;keyword&gt;Humans&lt;/keyword&gt;&lt;keyword&gt;Japan&lt;/keyword&gt;&lt;keyword&gt;Life Expectancy/*trends&lt;/keyword&gt;&lt;keyword&gt;United States&lt;/keyword&gt;&lt;/keywords&gt;&lt;dates&gt;&lt;year&gt;2011&lt;/year&gt;&lt;pub-dates&gt;&lt;date&gt;Apr&lt;/date&gt;&lt;/pub-dates&gt;&lt;/dates&gt;&lt;isbn&gt;1464-3685 (Electronic)&amp;#xD;0300-5771 (Linking)&lt;/isbn&gt;&lt;accession-num&gt;21415000&lt;/accession-num&gt;&lt;work-type&gt;Editorial&lt;/work-type&gt;&lt;urls&gt;&lt;related-urls&gt;&lt;url&gt;http://www.ncbi.nlm.nih.gov/pubmed/21415000&lt;/url&gt;&lt;/related-urls&gt;&lt;/urls&gt;&lt;electronic-resource-num&gt;10.1093/ije/dyr061&lt;/electronic-resource-num&gt;&lt;language&gt;eng&lt;/language&gt;&lt;/record&gt;&lt;/Cite&gt;&lt;/EndNote&gt;</w:instrText>
      </w:r>
      <w:r w:rsidR="001D3206">
        <w:rPr>
          <w:lang w:val="en-GB"/>
        </w:rPr>
        <w:fldChar w:fldCharType="separate"/>
      </w:r>
      <w:r w:rsidR="00E968A4" w:rsidRPr="00E968A4">
        <w:rPr>
          <w:noProof/>
          <w:vertAlign w:val="superscript"/>
          <w:lang w:val="en-GB"/>
        </w:rPr>
        <w:t>16</w:t>
      </w:r>
      <w:r w:rsidR="001D3206">
        <w:rPr>
          <w:lang w:val="en-GB"/>
        </w:rPr>
        <w:fldChar w:fldCharType="end"/>
      </w:r>
    </w:p>
    <w:p w:rsidR="00436563" w:rsidRPr="00493A70" w:rsidRDefault="00436563" w:rsidP="003C7488">
      <w:pPr>
        <w:pStyle w:val="Plattetekst"/>
        <w:rPr>
          <w:lang w:val="en-GB"/>
        </w:rPr>
      </w:pPr>
      <w:r w:rsidRPr="00493A70">
        <w:rPr>
          <w:lang w:val="en-GB"/>
        </w:rPr>
        <w:t xml:space="preserve">In contrast, the former communist countries of central and eastern Europe and the Soviet Union experienced stagnation or even decline of life expectancy during the 1960s, 1970s and 1980s, with the overall figure concealing increases in mortality among middle-aged men that were compensated for, and to some extent obscured by, continued improvements in mortality among children. </w:t>
      </w:r>
      <w:r w:rsidR="001D3206">
        <w:rPr>
          <w:lang w:val="en-GB"/>
        </w:rPr>
        <w:fldChar w:fldCharType="begin">
          <w:fldData xml:space="preserve">PEVuZE5vdGU+PENpdGU+PEF1dGhvcj5DaGVuZXQ8L0F1dGhvcj48WWVhcj4xOTk2PC9ZZWFyPjxS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</w:fldData>
        </w:fldChar>
      </w:r>
      <w:r w:rsidR="009679B5">
        <w:rPr>
          <w:lang w:val="en-GB"/>
        </w:rPr>
        <w:instrText xml:space="preserve"> ADDIN EN.CITE </w:instrText>
      </w:r>
      <w:r w:rsidR="001D3206">
        <w:rPr>
          <w:lang w:val="en-GB"/>
        </w:rPr>
        <w:fldChar w:fldCharType="begin">
          <w:fldData xml:space="preserve">PEVuZE5vdGU+PENpdGU+PEF1dGhvcj5DaGVuZXQ8L0F1dGhvcj48WWVhcj4xOTk2PC9ZZWFyPjxS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</w:fldData>
        </w:fldChar>
      </w:r>
      <w:r w:rsidR="009679B5">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17</w:t>
      </w:r>
      <w:r w:rsidR="001D3206">
        <w:rPr>
          <w:lang w:val="en-GB"/>
        </w:rPr>
        <w:fldChar w:fldCharType="end"/>
      </w:r>
      <w:r w:rsidRPr="00493A70">
        <w:rPr>
          <w:lang w:val="en-GB"/>
        </w:rPr>
        <w:t xml:space="preserve"> The situation changed after 1990 (Figure 1b). Life expectancy improved almost at once in the former East Germany, Poland and what was then Czechoslovakia, but the improvement was delayed until 1993 in Hungary and a few years later in Romania and Bulgaria. Of the countries that emerged from Yugoslavia. Slovenia was the only successor state whose secession was largely peaceful, and w</w:t>
      </w:r>
      <w:r w:rsidR="00E968A4">
        <w:rPr>
          <w:lang w:val="en-GB"/>
        </w:rPr>
        <w:t xml:space="preserve">hose life expectancy improved without </w:t>
      </w:r>
      <w:r w:rsidRPr="00493A70">
        <w:rPr>
          <w:lang w:val="en-GB"/>
        </w:rPr>
        <w:t>interrupt</w:t>
      </w:r>
      <w:r w:rsidR="00E968A4">
        <w:rPr>
          <w:lang w:val="en-GB"/>
        </w:rPr>
        <w:t>ion</w:t>
      </w:r>
      <w:r w:rsidRPr="00493A70">
        <w:rPr>
          <w:lang w:val="en-GB"/>
        </w:rPr>
        <w:t xml:space="preserve">. Elsewhere, ethnic violence killed hundreds of thousands of people and displaced many more. Because of interruptions in data collection it is difficult to see these events in life expectancy trends, with the exception of Croatia that had a clear dip in male life expectancy in the early 1990s (Figure 1b). The situation in the countries of the former Soviet Union differed again, with a series of rapid fluctuations from the mid- 1980s </w:t>
      </w:r>
      <w:r w:rsidRPr="00493A70">
        <w:rPr>
          <w:lang w:val="en-GB"/>
        </w:rPr>
        <w:lastRenderedPageBreak/>
        <w:t xml:space="preserve">onwards that, although varying in magnitude, were similar in timing. </w:t>
      </w:r>
      <w:r w:rsidR="001D3206">
        <w:rPr>
          <w:lang w:val="en-GB"/>
        </w:rPr>
        <w:fldChar w:fldCharType="begin">
          <w:fldData xml:space="preserve">PEVuZE5vdGU+PENpdGU+PEF1dGhvcj5MZW9uPC9BdXRob3I+PFllYXI+MTk5NzwvWWVhcj48UmVj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</w:fldData>
        </w:fldChar>
      </w:r>
      <w:r w:rsidR="00E968A4">
        <w:rPr>
          <w:lang w:val="en-GB"/>
        </w:rPr>
        <w:instrText xml:space="preserve"> ADDIN EN.CITE </w:instrText>
      </w:r>
      <w:r w:rsidR="001D3206">
        <w:rPr>
          <w:lang w:val="en-GB"/>
        </w:rPr>
        <w:fldChar w:fldCharType="begin">
          <w:fldData xml:space="preserve">PEVuZE5vdGU+PENpdGU+PEF1dGhvcj5MZW9uPC9BdXRob3I+PFllYXI+MTk5NzwvWWVhcj48UmVj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18-19</w:t>
      </w:r>
      <w:r w:rsidR="001D3206">
        <w:rPr>
          <w:lang w:val="en-GB"/>
        </w:rPr>
        <w:fldChar w:fldCharType="end"/>
      </w:r>
      <w:r w:rsidRPr="00493A70">
        <w:rPr>
          <w:lang w:val="en-GB"/>
        </w:rPr>
        <w:t xml:space="preserve"> The overall pattern within eastern Europe is one of divergence of life expectancy, especially for men. </w:t>
      </w:r>
    </w:p>
    <w:p w:rsidR="00436563" w:rsidRDefault="00436563" w:rsidP="003C7488">
      <w:pPr>
        <w:pStyle w:val="Plattetekst"/>
        <w:rPr>
          <w:lang w:val="en-GB"/>
        </w:rPr>
      </w:pPr>
      <w:r w:rsidRPr="00493A70">
        <w:rPr>
          <w:lang w:val="en-GB"/>
        </w:rPr>
        <w:t xml:space="preserve">Some of these trends and variations </w:t>
      </w:r>
      <w:r>
        <w:rPr>
          <w:lang w:val="en-GB"/>
        </w:rPr>
        <w:t xml:space="preserve">can be explained </w:t>
      </w:r>
      <w:r w:rsidRPr="00493A70">
        <w:rPr>
          <w:lang w:val="en-GB"/>
        </w:rPr>
        <w:t xml:space="preserve">by economic developments. Western Europe experienced economic growth in the 1980s when many countries in central and eastern Europe and the Soviet Union were experiencing economic stagnation due to the failure of the communist economic model, with severe economic decline in the 1990s exacerbated by forced restructuring of the economy </w:t>
      </w:r>
      <w:r w:rsidR="001D3206">
        <w:rPr>
          <w:lang w:val="en-GB"/>
        </w:rPr>
        <w:fldChar w:fldCharType="begin"/>
      </w:r>
      <w:r w:rsidR="00E968A4">
        <w:rPr>
          <w:lang w:val="en-GB"/>
        </w:rPr>
        <w:instrText xml:space="preserve"> ADDIN EN.CITE &lt;EndNote&gt;&lt;Cite&gt;&lt;Author&gt;Stuckler&lt;/Author&gt;&lt;Year&gt;2009&lt;/Year&gt;&lt;RecNum&gt;15&lt;/RecNum&gt;&lt;record&gt;&lt;rec-number&gt;15&lt;/rec-number&gt;&lt;foreign-keys&gt;&lt;key app="EN" db-id="tss0rdex3zvparert03vs0prx5pspz50ftd5"&gt;15&lt;/key&gt;&lt;/foreign-keys&gt;&lt;ref-type name="Journal Article"&gt;17&lt;/ref-type&gt;&lt;contributors&gt;&lt;authors&gt;&lt;author&gt;Stuckler, D.&lt;/author&gt;&lt;author&gt;King, L.&lt;/author&gt;&lt;author&gt;McKee, M.&lt;/author&gt;&lt;/authors&gt;&lt;/contributors&gt;&lt;auth-address&gt;University of Cambridge, Department of Sociology, Faculty of Social and Political Sciences, Cambridge, UK.&lt;/auth-address&gt;&lt;titles&gt;&lt;title&gt;Mass privatisation and the post-communist mortality crisis: a cross-national analysis&lt;/title&gt;&lt;secondary-title&gt;Lancet&lt;/secondary-title&gt;&lt;alt-title&gt;Lancet&lt;/alt-title&gt;&lt;/titles&gt;&lt;periodical&gt;&lt;full-title&gt;Lancet&lt;/full-title&gt;&lt;/periodical&gt;&lt;alt-periodical&gt;&lt;full-title&gt;Lancet&lt;/full-title&gt;&lt;/alt-periodical&gt;&lt;pages&gt;399-407&lt;/pages&gt;&lt;volume&gt;373&lt;/volume&gt;&lt;number&gt;9661&lt;/number&gt;&lt;edition&gt;2009/01/20&lt;/edition&gt;&lt;keywords&gt;&lt;keyword&gt;Adolescent&lt;/keyword&gt;&lt;keyword&gt;Adult&lt;/keyword&gt;&lt;keyword&gt;Cluster Analysis&lt;/keyword&gt;&lt;keyword&gt;Europe, Eastern&lt;/keyword&gt;&lt;keyword&gt;Humans&lt;/keyword&gt;&lt;keyword&gt;Male&lt;/keyword&gt;&lt;keyword&gt;Middle Aged&lt;/keyword&gt;&lt;keyword&gt;Mortality/ trends&lt;/keyword&gt;&lt;keyword&gt;Privatization/economics/statistics &amp;amp; numerical data/trends&lt;/keyword&gt;&lt;keyword&gt;Russia&lt;/keyword&gt;&lt;keyword&gt;Unemployment/ statistics &amp;amp; numerical data&lt;/keyword&gt;&lt;keyword&gt;Young Adult&lt;/keyword&gt;&lt;/keywords&gt;&lt;dates&gt;&lt;year&gt;2009&lt;/year&gt;&lt;pub-dates&gt;&lt;date&gt;Jan 31&lt;/date&gt;&lt;/pub-dates&gt;&lt;/dates&gt;&lt;isbn&gt;1474-547X (Electronic)&amp;#xD;0140-6736 (Linking)&lt;/isbn&gt;&lt;accession-num&gt;19150132&lt;/accession-num&gt;&lt;urls&gt;&lt;/urls&gt;&lt;electronic-resource-num&gt;10.1016/s0140-6736(09)60005-2&lt;/electronic-resource-num&gt;&lt;remote-database-provider&gt;NLM&lt;/remote-database-provider&gt;&lt;language&gt;eng&lt;/language&gt;&lt;/record&gt;&lt;/Cite&gt;&lt;/EndNote&gt;</w:instrText>
      </w:r>
      <w:r w:rsidR="001D3206">
        <w:rPr>
          <w:lang w:val="en-GB"/>
        </w:rPr>
        <w:fldChar w:fldCharType="separate"/>
      </w:r>
      <w:r w:rsidR="00E968A4" w:rsidRPr="00E968A4">
        <w:rPr>
          <w:noProof/>
          <w:vertAlign w:val="superscript"/>
          <w:lang w:val="en-GB"/>
        </w:rPr>
        <w:t>20</w:t>
      </w:r>
      <w:r w:rsidR="001D3206">
        <w:rPr>
          <w:lang w:val="en-GB"/>
        </w:rPr>
        <w:fldChar w:fldCharType="end"/>
      </w:r>
      <w:r w:rsidRPr="00493A70">
        <w:rPr>
          <w:lang w:val="en-GB"/>
        </w:rPr>
        <w:t>. The effect of economic growth on life expectancy</w:t>
      </w:r>
      <w:r w:rsidR="00FC2D57">
        <w:rPr>
          <w:lang w:val="en-GB"/>
        </w:rPr>
        <w:t>, however,</w:t>
      </w:r>
      <w:r w:rsidRPr="00493A70">
        <w:rPr>
          <w:lang w:val="en-GB"/>
        </w:rPr>
        <w:t xml:space="preserve"> is likely to be mediated by a range of different factors, including less exposure to hazardous living conditions, </w:t>
      </w:r>
      <w:r w:rsidR="00155A95">
        <w:rPr>
          <w:lang w:val="en-GB"/>
        </w:rPr>
        <w:t xml:space="preserve">lifestyle change, </w:t>
      </w:r>
      <w:r w:rsidRPr="00493A70">
        <w:rPr>
          <w:lang w:val="en-GB"/>
        </w:rPr>
        <w:t xml:space="preserve">more effective public health systems, better health care, etc. </w:t>
      </w:r>
      <w:r w:rsidR="001D3206">
        <w:rPr>
          <w:lang w:val="en-GB"/>
        </w:rPr>
        <w:fldChar w:fldCharType="begin"/>
      </w:r>
      <w:r w:rsidR="00E968A4">
        <w:rPr>
          <w:lang w:val="en-GB"/>
        </w:rPr>
        <w:instrText xml:space="preserve"> ADDIN EN.CITE &lt;EndNote&gt;&lt;Cite&gt;&lt;Author&gt;Preston&lt;/Author&gt;&lt;Year&gt;1975&lt;/Year&gt;&lt;RecNum&gt;125&lt;/RecNum&gt;&lt;record&gt;&lt;rec-number&gt;125&lt;/rec-number&gt;&lt;foreign-keys&gt;&lt;key app='EN' db-id='x0x5v9tejav5faewxt4xwrd5aav2xredt5zf'&gt;125&lt;/key&gt;&lt;/foreign-keys&gt;&lt;ref-type name='Journal Article'&gt;17&lt;/ref-type&gt;&lt;contributors&gt;&lt;authors&gt;&lt;author&gt;Preston, S. H.&lt;/author&gt;&lt;/authors&gt;&lt;/contributors&gt;&lt;titles&gt;&lt;title&gt;The changing relation between mortality and level of economic development.  Vol. 29, No. 2, July 1975&lt;/title&gt;&lt;secondary-title&gt;Popul Stud (Camb)&lt;/secondary-title&gt;&lt;alt-title&gt;International journal of epidemiology&lt;/alt-title&gt;&lt;/titles&gt;&lt;alt-periodical&gt;&lt;full-title&gt;Int J Epidemiol&lt;/full-title&gt;&lt;abbr-1&gt;International journal of epidemiology&lt;/abbr-1&gt;&lt;/alt-periodical&gt;&lt;pages&gt;231–248&lt;/pages&gt;&lt;volume&gt;29&lt;/volume&gt;&lt;number&gt;2&lt;/number&gt;&lt;edition&gt;2007/06/07&lt;/edition&gt;&lt;keywords&gt;&lt;keyword&gt;Economics/ trends&lt;/keyword&gt;&lt;keyword&gt;Epidemiology/history&lt;/keyword&gt;&lt;keyword&gt;History, 20th Century&lt;/keyword&gt;&lt;keyword&gt;Income/trends&lt;/keyword&gt;&lt;keyword&gt;Life Expectancy&lt;/keyword&gt;&lt;keyword&gt;Mortality/ trends&lt;/keyword&gt;&lt;/keywords&gt;&lt;dates&gt;&lt;year&gt;1975&lt;/year&gt;&lt;pub-dates&gt;&lt;date&gt;Jun&lt;/date&gt;&lt;/pub-dates&gt;&lt;/dates&gt;&lt;isbn&gt;0300-5771 (Print)&amp;#xD;0300-5771 (Linking)&lt;/isbn&gt;&lt;accession-num&gt;17550952&lt;/accession-num&gt;&lt;urls&gt;&lt;/urls&gt;&lt;electronic-resource-num&gt;10.1093/ije/dym075&lt;/electronic-resource-num&gt;&lt;remote-database-provider&gt;NLM&lt;/remote-database-provider&gt;&lt;language&gt;eng&lt;/language&gt;&lt;/record&gt;&lt;/Cite&gt;&lt;Cite&gt;&lt;Author&gt;Riley&lt;/Author&gt;&lt;Year&gt;2001&lt;/Year&gt;&lt;RecNum&gt;17&lt;/RecNum&gt;&lt;record&gt;&lt;rec-number&gt;17&lt;/rec-number&gt;&lt;foreign-keys&gt;&lt;key app="EN" db-id="tss0rdex3zvparert03vs0prx5pspz50ftd5"&gt;17&lt;/key&gt;&lt;/foreign-keys&gt;&lt;ref-type name="Book"&gt;6&lt;/ref-type&gt;&lt;contributors&gt;&lt;authors&gt;&lt;author&gt;Riley, J.C.  &lt;/author&gt;&lt;/authors&gt;&lt;/contributors&gt;&lt;titles&gt;&lt;title&gt;Rising life expectancy. A global history.&lt;/title&gt;&lt;/titles&gt;&lt;pages&gt;243&lt;/pages&gt;&lt;dates&gt;&lt;year&gt;2001&lt;/year&gt;&lt;/dates&gt;&lt;pub-location&gt;Cambridge&lt;/pub-location&gt;&lt;publisher&gt;Cambridge University Press&lt;/publisher&gt;&lt;isbn&gt;978-0-521-00281-3&lt;/isbn&gt;&lt;urls&gt;&lt;/urls&gt;&lt;/record&gt;&lt;/Cite&gt;&lt;/EndNote&gt;</w:instrText>
      </w:r>
      <w:r w:rsidR="001D3206">
        <w:rPr>
          <w:lang w:val="en-GB"/>
        </w:rPr>
        <w:fldChar w:fldCharType="separate"/>
      </w:r>
      <w:r w:rsidR="00E968A4" w:rsidRPr="00E968A4">
        <w:rPr>
          <w:noProof/>
          <w:vertAlign w:val="superscript"/>
          <w:lang w:val="en-GB"/>
        </w:rPr>
        <w:t>21-22</w:t>
      </w:r>
      <w:r w:rsidR="001D3206">
        <w:rPr>
          <w:lang w:val="en-GB"/>
        </w:rPr>
        <w:fldChar w:fldCharType="end"/>
      </w:r>
      <w:r w:rsidRPr="00493A70">
        <w:rPr>
          <w:lang w:val="en-GB"/>
        </w:rPr>
        <w:t xml:space="preserve"> </w:t>
      </w:r>
    </w:p>
    <w:p w:rsidR="00436563" w:rsidRPr="00493A70" w:rsidRDefault="00436563" w:rsidP="003C7488">
      <w:pPr>
        <w:pStyle w:val="Plattetekst"/>
        <w:rPr>
          <w:lang w:val="en-GB"/>
        </w:rPr>
      </w:pPr>
      <w:r w:rsidRPr="00493A70">
        <w:rPr>
          <w:lang w:val="en-GB"/>
        </w:rPr>
        <w:t>By the beginning of the 21</w:t>
      </w:r>
      <w:r w:rsidRPr="00493A70">
        <w:rPr>
          <w:vertAlign w:val="superscript"/>
          <w:lang w:val="en-GB"/>
        </w:rPr>
        <w:t>st</w:t>
      </w:r>
      <w:r w:rsidRPr="00493A70">
        <w:rPr>
          <w:lang w:val="en-GB"/>
        </w:rPr>
        <w:t xml:space="preserve"> century, most of Europe had achieved a degree of stability and life expectancy was again on a sharp upward course almost everywhere. In the European Union, life expectancy for men increased by 3.15 years between 1999 and 2010 while the corresponding figure for women was 2.47 years. </w:t>
      </w:r>
      <w:r>
        <w:rPr>
          <w:lang w:val="en-GB"/>
        </w:rPr>
        <w:t>T</w:t>
      </w:r>
      <w:r w:rsidRPr="00493A70">
        <w:rPr>
          <w:lang w:val="en-GB"/>
        </w:rPr>
        <w:t xml:space="preserve">hese gains </w:t>
      </w:r>
      <w:r>
        <w:rPr>
          <w:lang w:val="en-GB"/>
        </w:rPr>
        <w:t xml:space="preserve">can be </w:t>
      </w:r>
      <w:r w:rsidRPr="00493A70">
        <w:rPr>
          <w:lang w:val="en-GB"/>
        </w:rPr>
        <w:t xml:space="preserve">decomposed to determine how </w:t>
      </w:r>
      <w:r>
        <w:rPr>
          <w:lang w:val="en-GB"/>
        </w:rPr>
        <w:t xml:space="preserve">many years </w:t>
      </w:r>
      <w:r w:rsidRPr="00493A70">
        <w:rPr>
          <w:lang w:val="en-GB"/>
        </w:rPr>
        <w:t>the major causes of death at different ages</w:t>
      </w:r>
      <w:r>
        <w:rPr>
          <w:lang w:val="en-GB"/>
        </w:rPr>
        <w:t xml:space="preserve"> contributed to the overall change in life expectancy </w:t>
      </w:r>
      <w:r w:rsidRPr="00493A70">
        <w:rPr>
          <w:lang w:val="en-GB"/>
        </w:rPr>
        <w:t>(Figure 2)</w:t>
      </w:r>
      <w:r>
        <w:rPr>
          <w:lang w:val="en-GB"/>
        </w:rPr>
        <w:t>. I</w:t>
      </w:r>
      <w:r w:rsidRPr="00493A70">
        <w:rPr>
          <w:lang w:val="en-GB"/>
        </w:rPr>
        <w:t xml:space="preserve">t can be seen that the greatest share was brought about by reductions in deaths among men aged 60 and above and women aged 65 and above. These were largely due to declines in cardiovascular disease mortality, although reduced deaths from external causes (injuries and violence) played a role in younger men. The large declines in mortality among elderly people seem to open a new phase in the epidemiologic transition, which may have important consequences for population aging </w:t>
      </w:r>
      <w:r w:rsidR="001D3206">
        <w:rPr>
          <w:lang w:val="en-GB"/>
        </w:rPr>
        <w:fldChar w:fldCharType="begin">
          <w:fldData xml:space="preserve">PEVuZE5vdGU+PENpdGU+PEF1dGhvcj5NZXNsw6k8L0F1dGhvcj48WWVhcj4yMDA2PC9ZZWFyPjxS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</w:fldData>
        </w:fldChar>
      </w:r>
      <w:r w:rsidR="00E968A4">
        <w:rPr>
          <w:lang w:val="en-GB"/>
        </w:rPr>
        <w:instrText xml:space="preserve"> ADDIN EN.CITE </w:instrText>
      </w:r>
      <w:r w:rsidR="001D3206">
        <w:rPr>
          <w:lang w:val="en-GB"/>
        </w:rPr>
        <w:fldChar w:fldCharType="begin">
          <w:fldData xml:space="preserve">PEVuZE5vdGU+PENpdGU+PEF1dGhvcj5NZXNsw6k8L0F1dGhvcj48WWVhcj4yMDA2PC9ZZWFyPjxS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23-24</w:t>
      </w:r>
      <w:r w:rsidR="001D3206">
        <w:rPr>
          <w:lang w:val="en-GB"/>
        </w:rPr>
        <w:fldChar w:fldCharType="end"/>
      </w:r>
      <w:r w:rsidRPr="00493A70">
        <w:rPr>
          <w:lang w:val="en-GB"/>
        </w:rPr>
        <w:t>.</w:t>
      </w:r>
    </w:p>
    <w:p w:rsidR="00436563" w:rsidRPr="00493A70" w:rsidRDefault="00436563" w:rsidP="003C7488">
      <w:pPr>
        <w:pStyle w:val="Plattetekst"/>
        <w:rPr>
          <w:lang w:val="en-GB"/>
        </w:rPr>
      </w:pPr>
      <w:r w:rsidRPr="00493A70">
        <w:rPr>
          <w:lang w:val="en-GB"/>
        </w:rPr>
        <w:t>Recent progress of life expectancy in the former Soviet Union has been more diverse.</w:t>
      </w:r>
      <w:r w:rsidR="001D3206">
        <w:rPr>
          <w:lang w:val="en-GB"/>
        </w:rPr>
        <w:fldChar w:fldCharType="begin"/>
      </w:r>
      <w:r w:rsidR="00E968A4">
        <w:rPr>
          <w:lang w:val="en-GB"/>
        </w:rPr>
        <w:instrText xml:space="preserve"> ADDIN EN.CITE &lt;EndNote&gt;&lt;Cite&gt;&lt;Author&gt;Karanikolos&lt;/Author&gt;&lt;Year&gt;2012&lt;/Year&gt;&lt;RecNum&gt;13&lt;/RecNum&gt;&lt;record&gt;&lt;rec-number&gt;13&lt;/rec-number&gt;&lt;foreign-keys&gt;&lt;key app='EN' db-id='x0x5v9tejav5faewxt4xwrd5aav2xredt5zf'&gt;13&lt;/key&gt;&lt;/foreign-keys&gt;&lt;ref-type name='Journal Article'&gt;17&lt;/ref-type&gt;&lt;contributors&gt;&lt;authors&gt;&lt;author&gt;Karanikolos, M.&lt;/author&gt;&lt;author&gt;Leon, D.A.&lt;/author&gt;&lt;author&gt;Smith, P.C.&lt;/author&gt;&lt;author&gt;McKee, M. &lt;/author&gt;&lt;/authors&gt;&lt;/contributors&gt;&lt;titles&gt;&lt;title&gt;Minding the gap: changes in life expectancy in the Baltic States compared to Finland&lt;/title&gt;&lt;secondary-title&gt;J Epidemiol Comm Health&lt;/secondary-title&gt;&lt;/titles&gt;&lt;volume&gt;doi:10.1136/jech-2011-200879&lt;/volume&gt;&lt;dates&gt;&lt;year&gt;2012&lt;/year&gt;&lt;/dates&gt;&lt;urls&gt;&lt;/urls&gt;&lt;/record&gt;&lt;/Cite&gt;&lt;Cite&gt;&lt;Author&gt;Jasilionis&lt;/Author&gt;&lt;Year&gt;2011&lt;/Year&gt;&lt;RecNum&gt;21&lt;/RecNum&gt;&lt;record&gt;&lt;rec-number&gt;21&lt;/rec-number&gt;&lt;foreign-keys&gt;&lt;key app="EN" db-id="tss0rdex3zvparert03vs0prx5pspz50ftd5"&gt;21&lt;/key&gt;&lt;/foreign-keys&gt;&lt;ref-type name="Journal Article"&gt;17&lt;/ref-type&gt;&lt;contributors&gt;&lt;authors&gt;&lt;author&gt;Jasilionis, D.&lt;/author&gt;&lt;author&gt;Meslé, F.&lt;/author&gt;&lt;author&gt;Shkolnikov, V.&lt;/author&gt;&lt;author&gt;Vallin, J.&lt;/author&gt;&lt;/authors&gt;&lt;/contributors&gt;&lt;titles&gt;&lt;title&gt;Recent life expectancy divergence in Baltic countries&lt;/title&gt;&lt;secondary-title&gt;European Journal of Population&lt;/secondary-title&gt;&lt;/titles&gt;&lt;periodical&gt;&lt;full-title&gt;European Journal of Population&lt;/full-title&gt;&lt;/periodical&gt;&lt;pages&gt;403-431&lt;/pages&gt;&lt;volume&gt;27 &lt;/volume&gt;&lt;number&gt;4&lt;/number&gt;&lt;dates&gt;&lt;year&gt;2011&lt;/year&gt;&lt;/dates&gt;&lt;urls&gt;&lt;/urls&gt;&lt;/record&gt;&lt;/Cite&gt;&lt;/EndNote&gt;</w:instrText>
      </w:r>
      <w:r w:rsidR="001D3206">
        <w:rPr>
          <w:lang w:val="en-GB"/>
        </w:rPr>
        <w:fldChar w:fldCharType="separate"/>
      </w:r>
      <w:r w:rsidR="00E968A4" w:rsidRPr="00E968A4">
        <w:rPr>
          <w:noProof/>
          <w:vertAlign w:val="superscript"/>
          <w:lang w:val="en-GB"/>
        </w:rPr>
        <w:t>25-26</w:t>
      </w:r>
      <w:r w:rsidR="001D3206">
        <w:rPr>
          <w:lang w:val="en-GB"/>
        </w:rPr>
        <w:fldChar w:fldCharType="end"/>
      </w:r>
      <w:r w:rsidRPr="00493A70">
        <w:rPr>
          <w:lang w:val="en-GB"/>
        </w:rPr>
        <w:t xml:space="preserve"> The 1990s were characterised by a series of dramatic fluctuations but the three Baltic states began an upward, although at times erratic, trend after 1994 while sustained improvements in the remaining 12 countries only began in the </w:t>
      </w:r>
      <w:r w:rsidR="00155A95" w:rsidRPr="00493A70">
        <w:rPr>
          <w:lang w:val="en-GB"/>
        </w:rPr>
        <w:t>mid-2000s</w:t>
      </w:r>
      <w:r w:rsidRPr="00493A70">
        <w:rPr>
          <w:lang w:val="en-GB"/>
        </w:rPr>
        <w:t xml:space="preserve"> (Figure 1b). Life expectancy at birth still lags far behind that in the EU, with the gap, for men, at 12 years, while the corresponding figure for women is 8 years. </w:t>
      </w:r>
      <w:r>
        <w:rPr>
          <w:lang w:val="en-GB"/>
        </w:rPr>
        <w:t xml:space="preserve">Any gains since 1990 have been driven by lower death rates in infancy; there has been almost no change at other ages among women and death rates among men at many ages are higher than in 1990 </w:t>
      </w:r>
      <w:r w:rsidRPr="00493A70">
        <w:rPr>
          <w:lang w:val="en-GB"/>
        </w:rPr>
        <w:t>(Figure 2)</w:t>
      </w:r>
      <w:r>
        <w:rPr>
          <w:lang w:val="en-GB"/>
        </w:rPr>
        <w:t xml:space="preserve">. Very recent improvements in some countries (not shown) </w:t>
      </w:r>
      <w:r w:rsidRPr="00493A70">
        <w:rPr>
          <w:lang w:val="en-GB"/>
        </w:rPr>
        <w:t>are due, largely, to reductions in deaths from circulatory diseases, in both males and females</w:t>
      </w:r>
      <w:r>
        <w:rPr>
          <w:lang w:val="en-GB"/>
        </w:rPr>
        <w:t xml:space="preserve"> and at older ages</w:t>
      </w:r>
      <w:r w:rsidRPr="00493A70">
        <w:rPr>
          <w:lang w:val="en-GB"/>
        </w:rPr>
        <w:t xml:space="preserve">, </w:t>
      </w:r>
      <w:r>
        <w:rPr>
          <w:lang w:val="en-GB"/>
        </w:rPr>
        <w:t>thought to reflect improvements in access to health care,</w:t>
      </w:r>
      <w:r w:rsidR="001D3206">
        <w:rPr>
          <w:lang w:val="en-GB"/>
        </w:rPr>
        <w:fldChar w:fldCharType="begin"/>
      </w:r>
      <w:r w:rsidR="009679B5">
        <w:rPr>
          <w:lang w:val="en-GB"/>
        </w:rPr>
        <w:instrText xml:space="preserve"> ADDIN EN.CITE &lt;EndNote&gt;&lt;Cite&gt;&lt;Author&gt;Karanikolos&lt;/Author&gt;&lt;Year&gt;2012&lt;/Year&gt;&lt;RecNum&gt;13&lt;/RecNum&gt;&lt;DisplayText&gt;[19]&lt;/DisplayText&gt;&lt;record&gt;&lt;rec-number&gt;13&lt;/rec-number&gt;&lt;foreign-keys&gt;&lt;key app="EN" db-id="x0x5v9tejav5faewxt4xwrd5aav2xredt5zf"&gt;13&lt;/key&gt;&lt;/foreign-keys&gt;&lt;ref-type name="Journal Article"&gt;17&lt;/ref-type&gt;&lt;contributors&gt;&lt;authors&gt;&lt;author&gt;Karanikolos, M.&lt;/author&gt;&lt;author&gt;Leon, D.A.&lt;/author&gt;&lt;author&gt;Smith, P.C.&lt;/author&gt;&lt;author&gt;McKee, M. &lt;/author&gt;&lt;/authors&gt;&lt;/contributors&gt;&lt;titles&gt;&lt;title&gt;Minding the gap: changes in life expectancy in the Baltic States compared to Finland&lt;/title&gt;&lt;secondary-title&gt;J Epidemiol Comm Health&lt;/secondary-title&gt;&lt;/titles&gt;&lt;volume&gt;doi:10.1136/jech-2011-200879&lt;/volume&gt;&lt;dates&gt;&lt;year&gt;2012&lt;/year&gt;&lt;/dates&gt;&lt;urls&gt;&lt;/urls&gt;&lt;/record&gt;&lt;/Cite&gt;&lt;/EndNote&gt;</w:instrText>
      </w:r>
      <w:r w:rsidR="001D3206">
        <w:rPr>
          <w:lang w:val="en-GB"/>
        </w:rPr>
        <w:fldChar w:fldCharType="separate"/>
      </w:r>
      <w:r w:rsidR="00E968A4" w:rsidRPr="00E968A4">
        <w:rPr>
          <w:noProof/>
          <w:vertAlign w:val="superscript"/>
          <w:lang w:val="en-GB"/>
        </w:rPr>
        <w:t>25</w:t>
      </w:r>
      <w:r w:rsidR="001D3206">
        <w:rPr>
          <w:lang w:val="en-GB"/>
        </w:rPr>
        <w:fldChar w:fldCharType="end"/>
      </w:r>
      <w:r>
        <w:rPr>
          <w:lang w:val="en-GB"/>
        </w:rPr>
        <w:t xml:space="preserve"> </w:t>
      </w:r>
      <w:r w:rsidRPr="00493A70">
        <w:rPr>
          <w:lang w:val="en-GB"/>
        </w:rPr>
        <w:t>but rates remain two to three times higher than the EU average. Countries in the South Caucasus (Armenia, Azerbaijan, and Georgia) have long had lower death rates from cardiovascular disease, which is plausibly linked to their somewhat healthier “Mediterranean” diets, but some caution is required when interpreting mortality data from this area.</w:t>
      </w:r>
      <w:r w:rsidR="001D3206">
        <w:rPr>
          <w:lang w:val="en-GB"/>
        </w:rPr>
        <w:fldChar w:fldCharType="begin"/>
      </w:r>
      <w:r w:rsidR="009679B5">
        <w:rPr>
          <w:lang w:val="en-GB"/>
        </w:rPr>
        <w:instrText xml:space="preserve"> ADDIN EN.CITE &lt;EndNote&gt;&lt;Cite&gt;&lt;Author&gt;Badurashvili&lt;/Author&gt;&lt;Year&gt;2001&lt;/Year&gt;&lt;RecNum&gt;61&lt;/RecNum&gt;&lt;DisplayText&gt;[21]&lt;/DisplayText&gt;&lt;record&gt;&lt;rec-number&gt;61&lt;/rec-number&gt;&lt;foreign-keys&gt;&lt;key app="EN" db-id="x0x5v9tejav5faewxt4xwrd5aav2xredt5zf"&gt;61&lt;/key&gt;&lt;/foreign-keys&gt;&lt;ref-type name="Journal Article"&gt;17&lt;/ref-type&gt;&lt;contributors&gt;&lt;authors&gt;&lt;author&gt;Badurashvili, I.&lt;/author&gt;&lt;author&gt;McKee, M.&lt;/author&gt;&lt;author&gt;Tsuladze, G.&lt;/author&gt;&lt;author&gt;Mesle, F.&lt;/author&gt;&lt;author&gt;Vallin, J.&lt;/author&gt;&lt;author&gt;Shkolnikov, V.&lt;/author&gt;&lt;/authors&gt;&lt;/contributors&gt;&lt;auth-address&gt;Georgian Centre of Population Research, Tbilisi, Georgia, USA.&lt;/auth-address&gt;&lt;titles&gt;&lt;title&gt;Where there are no data: what has happened to life expectancy in Georgia since 1990?&lt;/title&gt;&lt;secondary-title&gt;Public Health&lt;/secondary-title&gt;&lt;/titles&gt;&lt;pages&gt;394-400&lt;/pages&gt;&lt;volume&gt;115&lt;/volume&gt;&lt;number&gt;6&lt;/number&gt;&lt;edition&gt;2002/01/10&lt;/edition&gt;&lt;keywords&gt;&lt;keyword&gt;Aged&lt;/keyword&gt;&lt;keyword&gt;Demography&lt;/keyword&gt;&lt;keyword&gt;Female&lt;/keyword&gt;&lt;keyword&gt;Georgia (Republic)/epidemiology&lt;/keyword&gt;&lt;keyword&gt;Humans&lt;/keyword&gt;&lt;keyword&gt;Life Expectancy/*trends&lt;/keyword&gt;&lt;keyword&gt;Male&lt;/keyword&gt;&lt;keyword&gt;Middle Aged&lt;/keyword&gt;&lt;keyword&gt;Models, Statistical&lt;/keyword&gt;&lt;keyword&gt;Mortality/*trends&lt;/keyword&gt;&lt;/keywords&gt;&lt;dates&gt;&lt;year&gt;2001&lt;/year&gt;&lt;pub-dates&gt;&lt;date&gt;Nov&lt;/date&gt;&lt;/pub-dates&gt;&lt;/dates&gt;&lt;isbn&gt;0033-3506 (Print)&amp;#xD;0033-3506 (Linking)&lt;/isbn&gt;&lt;accession-num&gt;11781849&lt;/accession-num&gt;&lt;urls&gt;&lt;related-urls&gt;&lt;url&gt;http://www.ncbi.nlm.nih.gov/entrez/query.fcgi?cmd=Retrieve&amp;amp;db=PubMed&amp;amp;dopt=Citation&amp;amp;list_uids=11781849&lt;/url&gt;&lt;/related-urls&gt;&lt;/urls&gt;&lt;electronic-resource-num&gt;10.1038/sj.ph.1900808&amp;#xD;S0033-3506(01)00484-X [pii]&lt;/electronic-resource-num&gt;&lt;language&gt;eng&lt;/language&gt;&lt;/record&gt;&lt;/Cite&gt;&lt;/EndNote&gt;</w:instrText>
      </w:r>
      <w:r w:rsidR="001D3206">
        <w:rPr>
          <w:lang w:val="en-GB"/>
        </w:rPr>
        <w:fldChar w:fldCharType="separate"/>
      </w:r>
      <w:r w:rsidR="00E968A4" w:rsidRPr="00E968A4">
        <w:rPr>
          <w:noProof/>
          <w:vertAlign w:val="superscript"/>
          <w:lang w:val="en-GB"/>
        </w:rPr>
        <w:t>27</w:t>
      </w:r>
      <w:r w:rsidR="001D3206">
        <w:rPr>
          <w:lang w:val="en-GB"/>
        </w:rPr>
        <w:fldChar w:fldCharType="end"/>
      </w:r>
      <w:r w:rsidRPr="00493A70">
        <w:rPr>
          <w:lang w:val="en-GB"/>
        </w:rPr>
        <w:t xml:space="preserve"> </w:t>
      </w:r>
      <w:r>
        <w:rPr>
          <w:lang w:val="en-GB"/>
        </w:rPr>
        <w:t>More details on European mortality patterns can be found in the Web Appendix</w:t>
      </w:r>
      <w:r w:rsidR="00155A95">
        <w:rPr>
          <w:lang w:val="en-GB"/>
        </w:rPr>
        <w:t xml:space="preserve">, and in </w:t>
      </w:r>
      <w:r w:rsidR="001406BF">
        <w:rPr>
          <w:lang w:val="en-GB"/>
        </w:rPr>
        <w:t>B</w:t>
      </w:r>
      <w:r w:rsidR="00155A95">
        <w:rPr>
          <w:lang w:val="en-GB"/>
        </w:rPr>
        <w:t>ox 2 we describe recent progress in the collection of morbidity data</w:t>
      </w:r>
      <w:r>
        <w:rPr>
          <w:lang w:val="en-GB"/>
        </w:rPr>
        <w:t>.</w:t>
      </w:r>
    </w:p>
    <w:p w:rsidR="00436563" w:rsidRPr="00493A70" w:rsidRDefault="00436563" w:rsidP="00EC5CB8">
      <w:pPr>
        <w:pStyle w:val="Kop2"/>
      </w:pPr>
      <w:r w:rsidRPr="00493A70">
        <w:t xml:space="preserve">Successes and failures of health policy in western Europe </w:t>
      </w:r>
    </w:p>
    <w:p w:rsidR="00436563" w:rsidRPr="00493A70" w:rsidRDefault="00436563" w:rsidP="003C7488">
      <w:pPr>
        <w:pStyle w:val="Plattetekst"/>
        <w:rPr>
          <w:lang w:val="en-GB"/>
        </w:rPr>
      </w:pPr>
      <w:r w:rsidRPr="00493A70">
        <w:rPr>
          <w:lang w:val="en-GB"/>
        </w:rPr>
        <w:t xml:space="preserve">Specific health policies that have contributed to favourable health trends in western Europe in </w:t>
      </w:r>
      <w:r>
        <w:rPr>
          <w:lang w:val="en-GB"/>
        </w:rPr>
        <w:t>recent decades were identified through a process of consultation with experts in a range of subject areas who then conducted targeted literature reviews and additional data analyses.</w:t>
      </w:r>
      <w:r w:rsidR="001D3206">
        <w:rPr>
          <w:lang w:val="en-GB"/>
        </w:rPr>
        <w:fldChar w:fldCharType="begin"/>
      </w:r>
      <w:r w:rsidR="009679B5">
        <w:rPr>
          <w:lang w:val="en-GB"/>
        </w:rPr>
        <w:instrText xml:space="preserve"> ADDIN EN.CITE &lt;EndNote&gt;&lt;Cite&gt;&lt;Author&gt;Mackenbach&lt;/Author&gt;&lt;Year&gt;(in press)&lt;/Year&gt;&lt;RecNum&gt;53&lt;/RecNum&gt;&lt;DisplayText&gt;[1]&lt;/DisplayText&gt;&lt;record&gt;&lt;rec-number&gt;53&lt;/rec-number&gt;&lt;foreign-keys&gt;&lt;key app="EN" db-id="x0x5v9tejav5faewxt4xwrd5aav2xredt5zf"&gt;53&lt;/key&gt;&lt;/foreign-keys&gt;&lt;ref-type name="Edited Book"&gt;28&lt;/ref-type&gt;&lt;contributors&gt;&lt;authors&gt;&lt;author&gt;Mackenbach, J.P.&lt;/author&gt;&lt;author&gt;McKee, M.&lt;/author&gt;&lt;/authors&gt;&lt;/contributors&gt;&lt;titles&gt;&lt;title&gt;Successes and failures of health policy in Europe over four decades: Diverging trends, converging challenges&lt;/title&gt;&lt;/titles&gt;&lt;dates&gt;&lt;year&gt;(in press)&lt;/year&gt;&lt;/dates&gt;&lt;pub-location&gt;Buckingham&lt;/pub-location&gt;&lt;publisher&gt;Open University Press&lt;/publisher&gt;&lt;urls&gt;&lt;/urls&gt;&lt;/record&gt;&lt;/Cite&gt;&lt;/EndNote&gt;</w:instrText>
      </w:r>
      <w:r w:rsidR="001D3206">
        <w:rPr>
          <w:lang w:val="en-GB"/>
        </w:rPr>
        <w:fldChar w:fldCharType="separate"/>
      </w:r>
      <w:r w:rsidR="001406BF" w:rsidRPr="001406BF">
        <w:rPr>
          <w:noProof/>
          <w:vertAlign w:val="superscript"/>
          <w:lang w:val="en-GB"/>
        </w:rPr>
        <w:t>1</w:t>
      </w:r>
      <w:r w:rsidR="001D3206">
        <w:rPr>
          <w:lang w:val="en-GB"/>
        </w:rPr>
        <w:fldChar w:fldCharType="end"/>
      </w:r>
      <w:r>
        <w:rPr>
          <w:lang w:val="en-GB"/>
        </w:rPr>
        <w:t xml:space="preserve"> The areas identified </w:t>
      </w:r>
      <w:r w:rsidRPr="00493A70">
        <w:rPr>
          <w:lang w:val="en-GB"/>
        </w:rPr>
        <w:t xml:space="preserve">can be found in health protection and health promotion (e.g., tobacco control, home and road traffic safety, reductions in air pollution) as well in improved health care (e.g. perinatal and maternal health, immunisations, </w:t>
      </w:r>
      <w:r w:rsidRPr="00493A70">
        <w:t xml:space="preserve">hypertension detection and </w:t>
      </w:r>
      <w:r w:rsidRPr="00493A70">
        <w:lastRenderedPageBreak/>
        <w:t xml:space="preserve">treatment, cancer screening, </w:t>
      </w:r>
      <w:r w:rsidRPr="00493A70">
        <w:rPr>
          <w:lang w:val="en-GB"/>
        </w:rPr>
        <w:t>more effective treatment for many diseases). Other areas of health policy, such as those on alcohol and food, have had more mixed results.</w:t>
      </w:r>
      <w:r w:rsidR="001D3206">
        <w:rPr>
          <w:lang w:val="en-GB"/>
        </w:rPr>
        <w:fldChar w:fldCharType="begin"/>
      </w:r>
      <w:r w:rsidR="009679B5">
        <w:rPr>
          <w:lang w:val="en-GB"/>
        </w:rPr>
        <w:instrText xml:space="preserve"> ADDIN EN.CITE &lt;EndNote&gt;&lt;Cite&gt;&lt;Author&gt;Mackenbach&lt;/Author&gt;&lt;Year&gt;(in press)&lt;/Year&gt;&lt;RecNum&gt;53&lt;/RecNum&gt;&lt;DisplayText&gt;[1]&lt;/DisplayText&gt;&lt;record&gt;&lt;rec-number&gt;53&lt;/rec-number&gt;&lt;foreign-keys&gt;&lt;key app="EN" db-id="x0x5v9tejav5faewxt4xwrd5aav2xredt5zf"&gt;53&lt;/key&gt;&lt;/foreign-keys&gt;&lt;ref-type name="Edited Book"&gt;28&lt;/ref-type&gt;&lt;contributors&gt;&lt;authors&gt;&lt;author&gt;Mackenbach, J.P.&lt;/author&gt;&lt;author&gt;McKee, M.&lt;/author&gt;&lt;/authors&gt;&lt;/contributors&gt;&lt;titles&gt;&lt;title&gt;Successes and failures of health policy in Europe over four decades: Diverging trends, converging challenges&lt;/title&gt;&lt;/titles&gt;&lt;dates&gt;&lt;year&gt;(in press)&lt;/year&gt;&lt;/dates&gt;&lt;pub-location&gt;Buckingham&lt;/pub-location&gt;&lt;publisher&gt;Open University Press&lt;/publisher&gt;&lt;urls&gt;&lt;/urls&gt;&lt;/record&gt;&lt;/Cite&gt;&lt;/EndNote&gt;</w:instrText>
      </w:r>
      <w:r w:rsidR="001D3206">
        <w:rPr>
          <w:lang w:val="en-GB"/>
        </w:rPr>
        <w:fldChar w:fldCharType="separate"/>
      </w:r>
      <w:r w:rsidR="001406BF" w:rsidRPr="001406BF">
        <w:rPr>
          <w:noProof/>
          <w:vertAlign w:val="superscript"/>
          <w:lang w:val="en-GB"/>
        </w:rPr>
        <w:t>1</w:t>
      </w:r>
      <w:r w:rsidR="001D3206">
        <w:rPr>
          <w:lang w:val="en-GB"/>
        </w:rPr>
        <w:fldChar w:fldCharType="end"/>
      </w:r>
      <w:r w:rsidRPr="00493A70">
        <w:rPr>
          <w:lang w:val="en-GB"/>
        </w:rPr>
        <w:t xml:space="preserve"> Notwithstanding some overall successes, western European countries have differed significantly in their implementation of effective health policies, leaving substantial room for further health gains. We will illustrate this using four examples.  </w:t>
      </w:r>
    </w:p>
    <w:p w:rsidR="00436563" w:rsidRPr="00493A70" w:rsidRDefault="00436563">
      <w:pPr>
        <w:pStyle w:val="Kop3"/>
      </w:pPr>
      <w:r w:rsidRPr="00493A70">
        <w:t>Tobacco control</w:t>
      </w:r>
    </w:p>
    <w:p w:rsidR="00436563" w:rsidRPr="00493A70" w:rsidRDefault="00436563" w:rsidP="003C7488">
      <w:pPr>
        <w:pStyle w:val="Plattetekst"/>
        <w:rPr>
          <w:lang w:val="en-GB"/>
        </w:rPr>
      </w:pPr>
      <w:r w:rsidRPr="00493A70">
        <w:rPr>
          <w:lang w:val="en-GB"/>
        </w:rPr>
        <w:t xml:space="preserve">Tobacco remains the leading cause of avoidable premature mortality in Europe, but many western European countries have made substantial progress in tobacco control. Countries that have implemented more tobacco control policies, such as price increases, restrictions on smoking in public places, and advertising bans, tend to have a lower smoking prevalence, particularly among men (Figure 3a). Male lung cancer mortality is on the decline in many European countries, and declines in smoking have contributed substantially to declines in ischemic heart disease mortality </w:t>
      </w:r>
      <w:r w:rsidR="001D3206">
        <w:rPr>
          <w:lang w:val="en-GB"/>
        </w:rPr>
        <w:fldChar w:fldCharType="begin">
          <w:fldData xml:space="preserve">PEVuZE5vdGU+PENpdGU+PEF1dGhvcj5VbmFsPC9BdXRob3I+PFllYXI+MjAwNTwvWWVhcj48UmVj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</w:fldData>
        </w:fldChar>
      </w:r>
      <w:r w:rsidR="00E968A4">
        <w:rPr>
          <w:lang w:val="en-GB"/>
        </w:rPr>
        <w:instrText xml:space="preserve"> ADDIN EN.CITE </w:instrText>
      </w:r>
      <w:r w:rsidR="001D3206">
        <w:rPr>
          <w:lang w:val="en-GB"/>
        </w:rPr>
        <w:fldChar w:fldCharType="begin">
          <w:fldData xml:space="preserve">PEVuZE5vdGU+PENpdGU+PEF1dGhvcj5VbmFsPC9BdXRob3I+PFllYXI+MjAwNTwvWWVhcj48UmVj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28-30</w:t>
      </w:r>
      <w:r w:rsidR="001D3206">
        <w:rPr>
          <w:lang w:val="en-GB"/>
        </w:rPr>
        <w:fldChar w:fldCharType="end"/>
      </w:r>
      <w:r w:rsidRPr="00493A70">
        <w:rPr>
          <w:lang w:val="en-GB"/>
        </w:rPr>
        <w:t xml:space="preserve">. </w:t>
      </w:r>
    </w:p>
    <w:p w:rsidR="00436563" w:rsidRDefault="00436563" w:rsidP="003C7488">
      <w:pPr>
        <w:pStyle w:val="Plattetekst"/>
        <w:rPr>
          <w:lang w:val="en-GB"/>
        </w:rPr>
      </w:pPr>
      <w:r w:rsidRPr="00493A70">
        <w:rPr>
          <w:lang w:val="en-GB"/>
        </w:rPr>
        <w:t xml:space="preserve">Unfortunately, countries have differed considerably in the nature and timing of their policies </w:t>
      </w:r>
      <w:r w:rsidR="001D3206">
        <w:rPr>
          <w:lang w:val="en-GB"/>
        </w:rPr>
        <w:fldChar w:fldCharType="begin"/>
      </w:r>
      <w:r w:rsidR="009679B5">
        <w:rPr>
          <w:lang w:val="en-GB"/>
        </w:rPr>
        <w:instrText xml:space="preserve"> ADDIN EN.CITE &lt;EndNote&gt;&lt;Cite&gt;&lt;Author&gt;Joossens&lt;/Author&gt;&lt;Year&gt;2011&lt;/Year&gt;&lt;RecNum&gt;101&lt;/RecNum&gt;&lt;DisplayText&gt;[25]&lt;/DisplayText&gt;&lt;record&gt;&lt;rec-number&gt;101&lt;/rec-number&gt;&lt;foreign-keys&gt;&lt;key app="EN" db-id="x0x5v9tejav5faewxt4xwrd5aav2xredt5zf"&gt;101&lt;/key&gt;&lt;/foreign-keys&gt;&lt;ref-type name="Report"&gt;27&lt;/ref-type&gt;&lt;contributors&gt;&lt;authors&gt;&lt;author&gt;Joossens, L.&lt;/author&gt;&lt;author&gt;Raw, M.&lt;/author&gt;&lt;/authors&gt;&lt;/contributors&gt;&lt;titles&gt;&lt;title&gt;The Tobacco Control Scale 2010 in Europe&lt;/title&gt;&lt;/titles&gt;&lt;dates&gt;&lt;year&gt;2011&lt;/year&gt;&lt;/dates&gt;&lt;pub-location&gt;Brussels&lt;/pub-location&gt;&lt;publisher&gt;Association of European Cancer Leagues&lt;/publisher&gt;&lt;urls&gt;&lt;/urls&gt;&lt;/record&gt;&lt;/Cite&gt;&lt;/EndNote&gt;</w:instrText>
      </w:r>
      <w:r w:rsidR="001D3206">
        <w:rPr>
          <w:lang w:val="en-GB"/>
        </w:rPr>
        <w:fldChar w:fldCharType="separate"/>
      </w:r>
      <w:r w:rsidR="00E968A4" w:rsidRPr="00E968A4">
        <w:rPr>
          <w:noProof/>
          <w:vertAlign w:val="superscript"/>
          <w:lang w:val="en-GB"/>
        </w:rPr>
        <w:t>31</w:t>
      </w:r>
      <w:r w:rsidR="001D3206">
        <w:rPr>
          <w:lang w:val="en-GB"/>
        </w:rPr>
        <w:fldChar w:fldCharType="end"/>
      </w:r>
      <w:r w:rsidRPr="00493A70">
        <w:rPr>
          <w:lang w:val="en-GB"/>
        </w:rPr>
        <w:t xml:space="preserve">. This is illustrated by the slow spread of bans on smoking in public places </w:t>
      </w:r>
      <w:r w:rsidR="001D3206">
        <w:rPr>
          <w:lang w:val="en-GB"/>
        </w:rPr>
        <w:fldChar w:fldCharType="begin"/>
      </w:r>
      <w:r w:rsidR="009679B5">
        <w:rPr>
          <w:lang w:val="en-GB"/>
        </w:rPr>
        <w:instrText xml:space="preserve"> ADDIN EN.CITE &lt;EndNote&gt;&lt;Cite&gt;&lt;Author&gt;Toshkov&lt;/Author&gt;&lt;Year&gt;(in press)&lt;/Year&gt;&lt;RecNum&gt;62&lt;/RecNum&gt;&lt;DisplayText&gt;[26]&lt;/DisplayText&gt;&lt;record&gt;&lt;rec-number&gt;62&lt;/rec-number&gt;&lt;foreign-keys&gt;&lt;key app="EN" db-id="x0x5v9tejav5faewxt4xwrd5aav2xredt5zf"&gt;62&lt;/key&gt;&lt;/foreign-keys&gt;&lt;ref-type name="Journal Article"&gt;17&lt;/ref-type&gt;&lt;contributors&gt;&lt;authors&gt;&lt;author&gt;Toshkov, Dimiter&lt;/author&gt;&lt;/authors&gt;&lt;/contributors&gt;&lt;titles&gt;&lt;title&gt;Policy Making Beyond Political Ideology: The Adoption of Smoking Bans in Europe&lt;/title&gt;&lt;secondary-title&gt;Public Administration&lt;/secondary-title&gt;&lt;/titles&gt;&lt;dates&gt;&lt;year&gt;(in press)&lt;/year&gt;&lt;/dates&gt;&lt;urls&gt;&lt;/urls&gt;&lt;/record&gt;&lt;/Cite&gt;&lt;/EndNote&gt;</w:instrText>
      </w:r>
      <w:r w:rsidR="001D3206">
        <w:rPr>
          <w:lang w:val="en-GB"/>
        </w:rPr>
        <w:fldChar w:fldCharType="separate"/>
      </w:r>
      <w:r w:rsidR="00E968A4" w:rsidRPr="00E968A4">
        <w:rPr>
          <w:noProof/>
          <w:vertAlign w:val="superscript"/>
          <w:lang w:val="en-GB"/>
        </w:rPr>
        <w:t>32</w:t>
      </w:r>
      <w:r w:rsidR="001D3206">
        <w:rPr>
          <w:lang w:val="en-GB"/>
        </w:rPr>
        <w:fldChar w:fldCharType="end"/>
      </w:r>
      <w:r w:rsidRPr="00493A70">
        <w:rPr>
          <w:lang w:val="en-GB"/>
        </w:rPr>
        <w:t xml:space="preserve">. Ireland was the first western European country to enact a comprehensive ban, soon followed by Scotland, England, Wales, Italy, Spain and France, but now extending more widely to countries such as Bulgaria. However, other countries, and especially those where links between the tobacco industry and politicians and scientists have been closer, such as Germany </w:t>
      </w:r>
      <w:r w:rsidR="001D3206">
        <w:rPr>
          <w:lang w:val="en-GB"/>
        </w:rPr>
        <w:fldChar w:fldCharType="begin"/>
      </w:r>
      <w:r w:rsidR="009679B5">
        <w:rPr>
          <w:lang w:val="en-GB"/>
        </w:rPr>
        <w:instrText xml:space="preserve"> ADDIN EN.CITE &lt;EndNote&gt;&lt;Cite&gt;&lt;Author&gt;Gruning&lt;/Author&gt;&lt;Year&gt;2006&lt;/Year&gt;&lt;RecNum&gt;19&lt;/RecNum&gt;&lt;DisplayText&gt;[27]&lt;/DisplayText&gt;&lt;record&gt;&lt;rec-number&gt;19&lt;/rec-number&gt;&lt;foreign-keys&gt;&lt;key app="EN" db-id="x0x5v9tejav5faewxt4xwrd5aav2xredt5zf"&gt;19&lt;/key&gt;&lt;/foreign-keys&gt;&lt;ref-type name="Journal Article"&gt;17&lt;/ref-type&gt;&lt;contributors&gt;&lt;authors&gt;&lt;author&gt;Gruning, T.&lt;/author&gt;&lt;author&gt;Gilmore, A. B.&lt;/author&gt;&lt;author&gt;McKee, M.&lt;/author&gt;&lt;/authors&gt;&lt;/contributors&gt;&lt;auth-address&gt;Department of Anaesthesia and Intensive Care, Royal Free Hospital, Royal Free Hampstead NHS Trust, London, England. t@gzzz.freeserve.co.uk&lt;/auth-address&gt;&lt;titles&gt;&lt;title&gt;Tobacco industry influence on science and scientists in Germany&lt;/title&gt;&lt;secondary-title&gt;Am J Public Health&lt;/secondary-title&gt;&lt;/titles&gt;&lt;pages&gt;20-32&lt;/pages&gt;&lt;volume&gt;96&lt;/volume&gt;&lt;number&gt;1&lt;/number&gt;&lt;edition&gt;2005/12/01&lt;/edition&gt;&lt;keywords&gt;&lt;keyword&gt;Biomedical Research/*ethics&lt;/keyword&gt;&lt;keyword&gt;Conflict of Interest&lt;/keyword&gt;&lt;keyword&gt;Germany&lt;/keyword&gt;&lt;keyword&gt;Health Policy&lt;/keyword&gt;&lt;keyword&gt;Humans&lt;/keyword&gt;&lt;keyword&gt;Information Dissemination&lt;/keyword&gt;&lt;keyword&gt;Propaganda&lt;/keyword&gt;&lt;keyword&gt;Research Personnel/*ethics&lt;/keyword&gt;&lt;keyword&gt;Scientific Misconduct/ethics&lt;/keyword&gt;&lt;keyword&gt;Smoking/adverse effects/legislation &amp;amp; jurisprudence&lt;/keyword&gt;&lt;keyword&gt;Societies&lt;/keyword&gt;&lt;keyword&gt;Tobacco Industry/economics/*ethics/legislation &amp;amp; jurisprudence&lt;/keyword&gt;&lt;keyword&gt;Tobacco Smoke Pollution/adverse effects/legislation &amp;amp; jurisprudence&lt;/keyword&gt;&lt;/keywords&gt;&lt;dates&gt;&lt;year&gt;2006&lt;/year&gt;&lt;pub-dates&gt;&lt;date&gt;Jan&lt;/date&gt;&lt;/pub-dates&gt;&lt;/dates&gt;&lt;isbn&gt;0090-0036 (Print)&amp;#xD;0090-0036 (Linking)&lt;/isbn&gt;&lt;accession-num&gt;16317203&lt;/accession-num&gt;&lt;urls&gt;&lt;related-urls&gt;&lt;url&gt;http://www.ncbi.nlm.nih.gov/entrez/query.fcgi?cmd=Retrieve&amp;amp;db=PubMed&amp;amp;dopt=Citation&amp;amp;list_uids=16317203&lt;/url&gt;&lt;/related-urls&gt;&lt;/urls&gt;&lt;custom2&gt;1470431&lt;/custom2&gt;&lt;electronic-resource-num&gt;AJPH.2004.061507 [pii]&amp;#xD;10.2105/AJPH.2004.061507&lt;/electronic-resource-num&gt;&lt;language&gt;eng&lt;/language&gt;&lt;/record&gt;&lt;/Cite&gt;&lt;/EndNote&gt;</w:instrText>
      </w:r>
      <w:r w:rsidR="001D3206">
        <w:rPr>
          <w:lang w:val="en-GB"/>
        </w:rPr>
        <w:fldChar w:fldCharType="separate"/>
      </w:r>
      <w:r w:rsidR="00E968A4" w:rsidRPr="00E968A4">
        <w:rPr>
          <w:noProof/>
          <w:vertAlign w:val="superscript"/>
          <w:lang w:val="en-GB"/>
        </w:rPr>
        <w:t>33</w:t>
      </w:r>
      <w:r w:rsidR="001D3206">
        <w:rPr>
          <w:lang w:val="en-GB"/>
        </w:rPr>
        <w:fldChar w:fldCharType="end"/>
      </w:r>
      <w:r w:rsidRPr="00493A70">
        <w:rPr>
          <w:lang w:val="en-GB"/>
        </w:rPr>
        <w:t xml:space="preserve"> and Austria, have been slower and what measures have been taken have been partial and poorly enforced. </w:t>
      </w:r>
    </w:p>
    <w:p w:rsidR="00436563" w:rsidRPr="00493A70" w:rsidRDefault="00436563" w:rsidP="003C7488">
      <w:pPr>
        <w:pStyle w:val="Plattetekst"/>
        <w:rPr>
          <w:lang w:val="en-GB"/>
        </w:rPr>
      </w:pPr>
      <w:r w:rsidRPr="00493A70">
        <w:rPr>
          <w:lang w:val="en-GB"/>
        </w:rPr>
        <w:t>The contrast between Denmark and Sweden is especially marked.</w:t>
      </w:r>
      <w:r w:rsidR="001D3206">
        <w:rPr>
          <w:lang w:val="en-GB"/>
        </w:rPr>
        <w:fldChar w:fldCharType="begin"/>
      </w:r>
      <w:r w:rsidR="009679B5">
        <w:rPr>
          <w:lang w:val="en-GB"/>
        </w:rPr>
        <w:instrText xml:space="preserve"> ADDIN EN.CITE &lt;EndNote&gt;&lt;Cite&gt;&lt;Author&gt;Chenet&lt;/Author&gt;&lt;Year&gt;1996&lt;/Year&gt;&lt;RecNum&gt;22&lt;/RecNum&gt;&lt;DisplayText&gt;[28]&lt;/DisplayText&gt;&lt;record&gt;&lt;rec-number&gt;22&lt;/rec-number&gt;&lt;foreign-keys&gt;&lt;key app="EN" db-id="x0x5v9tejav5faewxt4xwrd5aav2xredt5zf"&gt;22&lt;/key&gt;&lt;/foreign-keys&gt;&lt;ref-type name="Journal Article"&gt;17&lt;/ref-type&gt;&lt;contributors&gt;&lt;authors&gt;&lt;author&gt;Chenet, L.&lt;/author&gt;&lt;author&gt;Osler, M.&lt;/author&gt;&lt;author&gt;McKee, M.&lt;/author&gt;&lt;author&gt;Krasnik, A.&lt;/author&gt;&lt;/authors&gt;&lt;/contributors&gt;&lt;auth-address&gt;Health Services Research Unit, London School of Hygiene and tropical Medicine. l.chenet@lshtm.ac.uk&lt;/auth-address&gt;&lt;titles&gt;&lt;title&gt;Changing life expectancy in the 1980s: why was Denmark different from Sweden?&lt;/title&gt;&lt;secondary-title&gt;J Epidemiol Community Health&lt;/secondary-title&gt;&lt;/titles&gt;&lt;periodical&gt;&lt;full-title&gt;J Epidemiol Community Health&lt;/full-title&gt;&lt;abbr-1&gt;Journal of epidemiology and community health&lt;/abbr-1&gt;&lt;/periodical&gt;&lt;pages&gt;404-7&lt;/pages&gt;&lt;volume&gt;50&lt;/volume&gt;&lt;number&gt;4&lt;/number&gt;&lt;edition&gt;1996/08/01&lt;/edition&gt;&lt;keywords&gt;&lt;keyword&gt;Adolescent&lt;/keyword&gt;&lt;keyword&gt;Adult&lt;/keyword&gt;&lt;keyword&gt;Aged&lt;/keyword&gt;&lt;keyword&gt;Cause of Death&lt;/keyword&gt;&lt;keyword&gt;Child&lt;/keyword&gt;&lt;keyword&gt;Child, Preschool&lt;/keyword&gt;&lt;keyword&gt;Denmark/epidemiology&lt;/keyword&gt;&lt;keyword&gt;Female&lt;/keyword&gt;&lt;keyword&gt;Humans&lt;/keyword&gt;&lt;keyword&gt;Infant&lt;/keyword&gt;&lt;keyword&gt;Infant, Newborn&lt;/keyword&gt;&lt;keyword&gt;*Life Expectancy&lt;/keyword&gt;&lt;keyword&gt;Male&lt;/keyword&gt;&lt;keyword&gt;Middle Aged&lt;/keyword&gt;&lt;keyword&gt;Sweden/epidemiology&lt;/keyword&gt;&lt;keyword&gt;Time Factors&lt;/keyword&gt;&lt;/keywords&gt;&lt;dates&gt;&lt;year&gt;1996&lt;/year&gt;&lt;pub-dates&gt;&lt;date&gt;Aug&lt;/date&gt;&lt;/pub-dates&gt;&lt;/dates&gt;&lt;isbn&gt;0143-005X (Print)&amp;#xD;0143-005X (Linking)&lt;/isbn&gt;&lt;accession-num&gt;8882223&lt;/accession-num&gt;&lt;urls&gt;&lt;related-urls&gt;&lt;url&gt;http://www.ncbi.nlm.nih.gov/entrez/query.fcgi?cmd=Retrieve&amp;amp;db=PubMed&amp;amp;dopt=Citation&amp;amp;list_uids=8882223&lt;/url&gt;&lt;/related-urls&gt;&lt;/urls&gt;&lt;custom2&gt;1060310&lt;/custom2&gt;&lt;language&gt;eng&lt;/language&gt;&lt;/record&gt;&lt;/Cite&gt;&lt;/EndNote&gt;</w:instrText>
      </w:r>
      <w:r w:rsidR="001D3206">
        <w:rPr>
          <w:lang w:val="en-GB"/>
        </w:rPr>
        <w:fldChar w:fldCharType="separate"/>
      </w:r>
      <w:r w:rsidR="00E968A4" w:rsidRPr="00E968A4">
        <w:rPr>
          <w:noProof/>
          <w:vertAlign w:val="superscript"/>
          <w:lang w:val="en-GB"/>
        </w:rPr>
        <w:t>34</w:t>
      </w:r>
      <w:r w:rsidR="001D3206">
        <w:rPr>
          <w:lang w:val="en-GB"/>
        </w:rPr>
        <w:fldChar w:fldCharType="end"/>
      </w:r>
      <w:r w:rsidRPr="00493A70">
        <w:rPr>
          <w:lang w:val="en-GB"/>
        </w:rPr>
        <w:t xml:space="preserve"> The former has been reluctant to take action against smoking. The tobacco industry in Denmark has been successful in promoting the view that smoking is an expression of individual freedom, while in Sweden successive governments have taken </w:t>
      </w:r>
      <w:r>
        <w:rPr>
          <w:lang w:val="en-GB"/>
        </w:rPr>
        <w:t xml:space="preserve">wide-ranging </w:t>
      </w:r>
      <w:r w:rsidRPr="00493A70">
        <w:rPr>
          <w:lang w:val="en-GB"/>
        </w:rPr>
        <w:t>action to reduce smoking</w:t>
      </w:r>
      <w:r>
        <w:rPr>
          <w:lang w:val="en-GB"/>
        </w:rPr>
        <w:t xml:space="preserve"> (it should be noted that some commentators have linked Sweden’s success, in part, to its legalisation of chewing tobacco but this is not supported by the evidence).</w:t>
      </w:r>
      <w:r w:rsidR="001D3206">
        <w:rPr>
          <w:lang w:val="en-GB"/>
        </w:rPr>
        <w:fldChar w:fldCharType="begin"/>
      </w:r>
      <w:r w:rsidR="00E968A4">
        <w:rPr>
          <w:lang w:val="en-GB"/>
        </w:rPr>
        <w:instrText xml:space="preserve"> ADDIN EN.CITE &lt;EndNote&gt;&lt;Cite&gt;&lt;Author&gt;Physicians for a Smoke-Free Canada&lt;/Author&gt;&lt;Year&gt;2007&lt;/Year&gt;&lt;RecNum&gt;74&lt;/RecNum&gt;&lt;record&gt;&lt;rec-number&gt;74&lt;/rec-number&gt;&lt;foreign-keys&gt;&lt;key app="EN" db-id="tss0rdex3zvparert03vs0prx5pspz50ftd5"&gt;74&lt;/key&gt;&lt;/foreign-keys&gt;&lt;ref-type name="Journal Article"&gt;17&lt;/ref-type&gt;&lt;contributors&gt;&lt;authors&gt;&lt;author&gt;Physicians for a Smoke-Free Canada,&lt;/author&gt;&lt;/authors&gt;&lt;/contributors&gt;&lt;titles&gt;&lt;title&gt;The Snus Experience. Lessons from Norway, Sweden and Canada on the public health consequences of widespread oral tobacco use&lt;/title&gt;&lt;secondary-title&gt;URL: http://www.smoke-free.ca/pdf_1/snus-comparative-experiences.pdf (accessed 15th October 2012)&lt;/secondary-title&gt;&lt;/titles&gt;&lt;periodical&gt;&lt;full-title&gt;URL: http://www.smoke-free.ca/pdf_1/snus-comparative-experiences.pdf (accessed 15th October 2012)&lt;/full-title&gt;&lt;/periodical&gt;&lt;dates&gt;&lt;year&gt;2007&lt;/year&gt;&lt;/dates&gt;&lt;urls&gt;&lt;/urls&gt;&lt;/record&gt;&lt;/Cite&gt;&lt;/EndNote&gt;</w:instrText>
      </w:r>
      <w:r w:rsidR="001D3206">
        <w:rPr>
          <w:lang w:val="en-GB"/>
        </w:rPr>
        <w:fldChar w:fldCharType="separate"/>
      </w:r>
      <w:r w:rsidR="00E968A4" w:rsidRPr="00E968A4">
        <w:rPr>
          <w:noProof/>
          <w:vertAlign w:val="superscript"/>
          <w:lang w:val="en-GB"/>
        </w:rPr>
        <w:t>35</w:t>
      </w:r>
      <w:r w:rsidR="001D3206">
        <w:rPr>
          <w:lang w:val="en-GB"/>
        </w:rPr>
        <w:fldChar w:fldCharType="end"/>
      </w:r>
      <w:r>
        <w:rPr>
          <w:lang w:val="en-GB"/>
        </w:rPr>
        <w:t xml:space="preserve"> </w:t>
      </w:r>
      <w:r w:rsidRPr="00493A70">
        <w:rPr>
          <w:lang w:val="en-GB"/>
        </w:rPr>
        <w:t>As a consequence, the death rate from lung cancer in Denmark is now twice that in Sweden, with than among Danish women by far the highest in Western Europe.</w:t>
      </w:r>
    </w:p>
    <w:p w:rsidR="00436563" w:rsidRPr="00493A70" w:rsidRDefault="00436563">
      <w:pPr>
        <w:pStyle w:val="Kop3"/>
      </w:pPr>
      <w:r w:rsidRPr="00493A70">
        <w:t>Alcohol control</w:t>
      </w:r>
    </w:p>
    <w:p w:rsidR="00436563" w:rsidRPr="00493A70" w:rsidRDefault="00436563" w:rsidP="003C7488">
      <w:pPr>
        <w:pStyle w:val="Plattetekst"/>
        <w:rPr>
          <w:lang w:val="en-GB"/>
        </w:rPr>
      </w:pPr>
      <w:r w:rsidRPr="00493A70">
        <w:rPr>
          <w:lang w:val="en-GB"/>
        </w:rPr>
        <w:t xml:space="preserve">By contrast, progress in alcohol control has been limited over the last four decades. While alcohol control policies have become more strict in some countries, particularly in southern Europe (starting from a very low level), they have remained more or less stable in many other countries </w:t>
      </w:r>
      <w:r w:rsidR="001D3206">
        <w:rPr>
          <w:lang w:val="en-GB"/>
        </w:rPr>
        <w:fldChar w:fldCharType="begin"/>
      </w:r>
      <w:r w:rsidR="009679B5">
        <w:rPr>
          <w:lang w:val="en-GB"/>
        </w:rPr>
        <w:instrText xml:space="preserve"> ADDIN EN.CITE &lt;EndNote&gt;&lt;Cite&gt;&lt;Author&gt;Karlsson&lt;/Author&gt;&lt;Year&gt;2006&lt;/Year&gt;&lt;RecNum&gt;105&lt;/RecNum&gt;&lt;DisplayText&gt;[30]&lt;/DisplayText&gt;&lt;record&gt;&lt;rec-number&gt;105&lt;/rec-number&gt;&lt;foreign-keys&gt;&lt;key app="EN" db-id="x0x5v9tejav5faewxt4xwrd5aav2xredt5zf"&gt;105&lt;/key&gt;&lt;/foreign-keys&gt;&lt;ref-type name="Book"&gt;6&lt;/ref-type&gt;&lt;contributors&gt;&lt;authors&gt;&lt;author&gt;&lt;style face="normal" font="default" size="11"&gt;Karlsson, T.&lt;/style&gt;&lt;/author&gt;&lt;author&gt;&lt;style face="normal" font="default" size="11"&gt;Österberg, E.&lt;/style&gt;&lt;/author&gt;&lt;/authors&gt;&lt;/contributors&gt;&lt;titles&gt;&lt;title&gt;&lt;style face="normal" font="default" size="11"&gt;Country reports and country profiles.Third meeting of network&lt;/style&gt;&lt;/title&gt;&lt;/titles&gt;&lt;dates&gt;&lt;year&gt;2006&lt;/year&gt;&lt;/dates&gt;&lt;pub-location&gt;&lt;style face="normal" font="default" size="11"&gt;Barcelona&lt;/style&gt;&lt;/pub-location&gt;&lt;publisher&gt;&lt;style face="normal" font="default" size="11"&gt;Eurocare bridging the gap (BtG) project&lt;/style&gt;&lt;/publisher&gt;&lt;urls&gt;&lt;/urls&gt;&lt;/record&gt;&lt;/Cite&gt;&lt;/EndNote&gt;</w:instrText>
      </w:r>
      <w:r w:rsidR="001D3206">
        <w:rPr>
          <w:lang w:val="en-GB"/>
        </w:rPr>
        <w:fldChar w:fldCharType="separate"/>
      </w:r>
      <w:r w:rsidR="00E968A4" w:rsidRPr="00E968A4">
        <w:rPr>
          <w:noProof/>
          <w:vertAlign w:val="superscript"/>
          <w:lang w:val="en-GB"/>
        </w:rPr>
        <w:t>36</w:t>
      </w:r>
      <w:r w:rsidR="001D3206">
        <w:rPr>
          <w:lang w:val="en-GB"/>
        </w:rPr>
        <w:fldChar w:fldCharType="end"/>
      </w:r>
      <w:r w:rsidRPr="00493A70">
        <w:rPr>
          <w:lang w:val="en-GB"/>
        </w:rPr>
        <w:t xml:space="preserve">. Alcohol consumption has gone up in many western European countries, although not in southern Europe. Differences in consumption partly reflect differences in policy (Figure 3b) and have profound consequences for health. </w:t>
      </w:r>
    </w:p>
    <w:p w:rsidR="00436563" w:rsidRPr="00493A70" w:rsidRDefault="00436563" w:rsidP="003C7488">
      <w:pPr>
        <w:pStyle w:val="Plattetekst"/>
        <w:rPr>
          <w:lang w:val="en-GB"/>
        </w:rPr>
      </w:pPr>
      <w:r w:rsidRPr="00493A70">
        <w:rPr>
          <w:lang w:val="en-GB"/>
        </w:rPr>
        <w:t xml:space="preserve">Alcohol consumption is deeply rooted in European culture, although there has historically been considerable variation in what was drunk, in large part as a consequence of variations in agriculture. However, these historical patterns are breaking down in the face of a massive marketing campaign by the global alcohol industry, coupled with the introduction of new products such as </w:t>
      </w:r>
      <w:r>
        <w:rPr>
          <w:lang w:val="en-GB"/>
        </w:rPr>
        <w:t>‘</w:t>
      </w:r>
      <w:r w:rsidRPr="00493A70">
        <w:rPr>
          <w:lang w:val="en-GB"/>
        </w:rPr>
        <w:t>alcopops</w:t>
      </w:r>
      <w:r>
        <w:rPr>
          <w:lang w:val="en-GB"/>
        </w:rPr>
        <w:t>’</w:t>
      </w:r>
      <w:r w:rsidRPr="00493A70">
        <w:rPr>
          <w:lang w:val="en-GB"/>
        </w:rPr>
        <w:t xml:space="preserve"> designed to appeal to adolescents.</w:t>
      </w:r>
      <w:r w:rsidR="001D3206">
        <w:rPr>
          <w:lang w:val="en-GB"/>
        </w:rPr>
        <w:fldChar w:fldCharType="begin"/>
      </w:r>
      <w:r w:rsidR="009679B5">
        <w:rPr>
          <w:lang w:val="en-GB"/>
        </w:rPr>
        <w:instrText xml:space="preserve"> ADDIN EN.CITE &lt;EndNote&gt;&lt;Cite&gt;&lt;Author&gt;Jackson&lt;/Author&gt;&lt;Year&gt;2000&lt;/Year&gt;&lt;RecNum&gt;63&lt;/RecNum&gt;&lt;DisplayText&gt;[31]&lt;/DisplayText&gt;&lt;record&gt;&lt;rec-number&gt;63&lt;/rec-number&gt;&lt;foreign-keys&gt;&lt;key app="EN" db-id="x0x5v9tejav5faewxt4xwrd5aav2xredt5zf"&gt;63&lt;/key&gt;&lt;/foreign-keys&gt;&lt;ref-type name="Journal Article"&gt;17&lt;/ref-type&gt;&lt;contributors&gt;&lt;authors&gt;&lt;author&gt;Jackson, M. C.&lt;/author&gt;&lt;author&gt;Hastings, G.&lt;/author&gt;&lt;author&gt;Wheeler, C.&lt;/author&gt;&lt;author&gt;Eadie, D.&lt;/author&gt;&lt;author&gt;Mackintosh, A. M.&lt;/author&gt;&lt;/authors&gt;&lt;/contributors&gt;&lt;auth-address&gt;Centre for Social Marketing, University of Strathclyde, 173 Cathedral Street, Glasgow G4 0RQ, Scotland, UK.&lt;/auth-address&gt;&lt;titles&gt;&lt;title&gt;Marketing alcohol to young people: implications for industry regulation and research policy&lt;/title&gt;&lt;secondary-title&gt;Addiction&lt;/secondary-title&gt;&lt;/titles&gt;&lt;periodical&gt;&lt;full-title&gt;Addiction&lt;/full-title&gt;&lt;/periodical&gt;&lt;pages&gt;S597-608&lt;/pages&gt;&lt;volume&gt;95 Suppl 4&lt;/volume&gt;&lt;edition&gt;2001/02/24&lt;/edition&gt;&lt;keywords&gt;&lt;keyword&gt;Adolescent&lt;/keyword&gt;&lt;keyword&gt;Advertising as Topic&lt;/keyword&gt;&lt;keyword&gt;Alcohol Drinking/*psychology&lt;/keyword&gt;&lt;keyword&gt;*Alcoholic Beverages&lt;/keyword&gt;&lt;keyword&gt;*Commerce&lt;/keyword&gt;&lt;keyword&gt;Great Britain&lt;/keyword&gt;&lt;keyword&gt;Humans&lt;/keyword&gt;&lt;keyword&gt;Research&lt;/keyword&gt;&lt;/keywords&gt;&lt;dates&gt;&lt;year&gt;2000&lt;/year&gt;&lt;pub-dates&gt;&lt;date&gt;Dec&lt;/date&gt;&lt;/pub-dates&gt;&lt;/dates&gt;&lt;isbn&gt;0965-2140 (Print)&amp;#xD;0965-2140 (Linking)&lt;/isbn&gt;&lt;accession-num&gt;11218354&lt;/accession-num&gt;&lt;urls&gt;&lt;related-urls&gt;&lt;url&gt;http://www.ncbi.nlm.nih.gov/entrez/query.fcgi?cmd=Retrieve&amp;amp;db=PubMed&amp;amp;dopt=Citation&amp;amp;list_uids=11218354&lt;/url&gt;&lt;/related-urls&gt;&lt;/urls&gt;&lt;language&gt;eng&lt;/language&gt;&lt;/record&gt;&lt;/Cite&gt;&lt;/EndNote&gt;</w:instrText>
      </w:r>
      <w:r w:rsidR="001D3206">
        <w:rPr>
          <w:lang w:val="en-GB"/>
        </w:rPr>
        <w:fldChar w:fldCharType="separate"/>
      </w:r>
      <w:r w:rsidR="00E968A4" w:rsidRPr="00E968A4">
        <w:rPr>
          <w:noProof/>
          <w:vertAlign w:val="superscript"/>
          <w:lang w:val="en-GB"/>
        </w:rPr>
        <w:t>37</w:t>
      </w:r>
      <w:r w:rsidR="001D3206">
        <w:rPr>
          <w:lang w:val="en-GB"/>
        </w:rPr>
        <w:fldChar w:fldCharType="end"/>
      </w:r>
      <w:r w:rsidRPr="00493A70">
        <w:rPr>
          <w:lang w:val="en-GB"/>
        </w:rPr>
        <w:t xml:space="preserve"> </w:t>
      </w:r>
    </w:p>
    <w:p w:rsidR="00436563" w:rsidRPr="00493A70" w:rsidRDefault="00436563" w:rsidP="003C7488">
      <w:pPr>
        <w:pStyle w:val="Plattetekst"/>
        <w:rPr>
          <w:lang w:val="en-GB"/>
        </w:rPr>
      </w:pPr>
      <w:r w:rsidRPr="00493A70">
        <w:rPr>
          <w:lang w:val="en-GB"/>
        </w:rPr>
        <w:t xml:space="preserve">France, which in 1970 had one of the highest death rates from chronic liver disease and cirrhosis, has imposed a wide range of policies designed to reduce hazardous consumption. These include restrictions on access, price increases, controls on marketing, and measures to </w:t>
      </w:r>
      <w:r w:rsidRPr="00493A70">
        <w:rPr>
          <w:lang w:val="en-GB"/>
        </w:rPr>
        <w:lastRenderedPageBreak/>
        <w:t>reduce drunk driving. These measures have been accompanied by a steady decline in deaths from cirrhosis, to a level that is now less than a third of what it was in 1970.</w:t>
      </w:r>
      <w:r w:rsidR="001D3206">
        <w:rPr>
          <w:lang w:val="en-GB"/>
        </w:rPr>
        <w:fldChar w:fldCharType="begin">
          <w:fldData xml:space="preserve">PEVuZE5vdGU+PENpdGU+PEF1dGhvcj5Cb3NldHRpPC9BdXRob3I+PFllYXI+MjAwNzwvWWVhcj48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</w:fldData>
        </w:fldChar>
      </w:r>
      <w:r w:rsidR="009679B5">
        <w:rPr>
          <w:lang w:val="en-GB"/>
        </w:rPr>
        <w:instrText xml:space="preserve"> ADDIN EN.CITE </w:instrText>
      </w:r>
      <w:r w:rsidR="001D3206">
        <w:rPr>
          <w:lang w:val="en-GB"/>
        </w:rPr>
        <w:fldChar w:fldCharType="begin">
          <w:fldData xml:space="preserve">PEVuZE5vdGU+PENpdGU+PEF1dGhvcj5Cb3NldHRpPC9BdXRob3I+PFllYXI+MjAwNzwvWWVhcj48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</w:fldData>
        </w:fldChar>
      </w:r>
      <w:r w:rsidR="009679B5">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38</w:t>
      </w:r>
      <w:r w:rsidR="001D3206">
        <w:rPr>
          <w:lang w:val="en-GB"/>
        </w:rPr>
        <w:fldChar w:fldCharType="end"/>
      </w:r>
      <w:r w:rsidRPr="00493A70">
        <w:rPr>
          <w:lang w:val="en-GB"/>
        </w:rPr>
        <w:t xml:space="preserve"> Elsewhere, policy changes have been less favourable. The United Kingdom has pursued a deregulatory approach that has facilitated much easier access to alcohol. Unlike in France, the death rate from cirrhosis has increased almost four-fold since 1970.</w:t>
      </w:r>
      <w:r w:rsidR="001D3206">
        <w:rPr>
          <w:lang w:val="en-GB"/>
        </w:rPr>
        <w:fldChar w:fldCharType="begin"/>
      </w:r>
      <w:r w:rsidR="009679B5">
        <w:rPr>
          <w:lang w:val="en-GB"/>
        </w:rPr>
        <w:instrText xml:space="preserve"> ADDIN EN.CITE &lt;EndNote&gt;&lt;Cite&gt;&lt;Author&gt;Leon&lt;/Author&gt;&lt;Year&gt;2006&lt;/Year&gt;&lt;RecNum&gt;127&lt;/RecNum&gt;&lt;DisplayText&gt;[33]&lt;/DisplayText&gt;&lt;record&gt;&lt;rec-number&gt;127&lt;/rec-number&gt;&lt;foreign-keys&gt;&lt;key app="EN" db-id="x0x5v9tejav5faewxt4xwrd5aav2xredt5zf"&gt;127&lt;/key&gt;&lt;/foreign-keys&gt;&lt;ref-type name="Journal Article"&gt;17&lt;/ref-type&gt;&lt;contributors&gt;&lt;authors&gt;&lt;author&gt;Leon, D. A.&lt;/author&gt;&lt;author&gt;McCambridge, J.&lt;/author&gt;&lt;/authors&gt;&lt;/contributors&gt;&lt;auth-address&gt;Non-Communicable Disease Epidemiology Unit, Department of Epidemiology and Population Health, London School of Hygiene and Tropical Medicine, London, UK. david.leon@lshtm.ac.uk&lt;/auth-address&gt;&lt;titles&gt;&lt;title&gt;Liver cirrhosis mortality rates in Britain from 1950 to 2002: an analysis of routine data&lt;/title&gt;&lt;secondary-title&gt;Lancet&lt;/secondary-title&gt;&lt;/titles&gt;&lt;periodical&gt;&lt;full-title&gt;Lancet&lt;/full-title&gt;&lt;abbr-1&gt;Lancet&lt;/abbr-1&gt;&lt;/periodical&gt;&lt;pages&gt;52-6&lt;/pages&gt;&lt;volume&gt;367&lt;/volume&gt;&lt;number&gt;9504&lt;/number&gt;&lt;edition&gt;2006/01/10&lt;/edition&gt;&lt;keywords&gt;&lt;keyword&gt;Adolescent&lt;/keyword&gt;&lt;keyword&gt;Adult&lt;/keyword&gt;&lt;keyword&gt;Age Distribution&lt;/keyword&gt;&lt;keyword&gt;Alcohol Drinking/adverse effects/trends&lt;/keyword&gt;&lt;keyword&gt;Databases, Factual&lt;/keyword&gt;&lt;keyword&gt;Europe&lt;/keyword&gt;&lt;keyword&gt;Female&lt;/keyword&gt;&lt;keyword&gt;Great Britain&lt;/keyword&gt;&lt;keyword&gt;Humans&lt;/keyword&gt;&lt;keyword&gt;Liver Cirrhosis/etiology/*mortality&lt;/keyword&gt;&lt;keyword&gt;Male&lt;/keyword&gt;&lt;keyword&gt;Malnutrition/complications&lt;/keyword&gt;&lt;keyword&gt;Middle Aged&lt;/keyword&gt;&lt;keyword&gt;Obesity/complications&lt;/keyword&gt;&lt;keyword&gt;Sex Distribution&lt;/keyword&gt;&lt;/keywords&gt;&lt;dates&gt;&lt;year&gt;2006&lt;/year&gt;&lt;pub-dates&gt;&lt;date&gt;Jan 7&lt;/date&gt;&lt;/pub-dates&gt;&lt;/dates&gt;&lt;isbn&gt;1474-547X (Electronic)&amp;#xD;0140-6736 (Linking)&lt;/isbn&gt;&lt;accession-num&gt;16399153&lt;/accession-num&gt;&lt;urls&gt;&lt;related-urls&gt;&lt;url&gt;http://www.ncbi.nlm.nih.gov/entrez/query.fcgi?cmd=Retrieve&amp;amp;db=PubMed&amp;amp;dopt=Citation&amp;amp;list_uids=16399153&lt;/url&gt;&lt;/related-urls&gt;&lt;/urls&gt;&lt;electronic-resource-num&gt;S0140-6736(06)67924-5 [pii]&amp;#xD;10.1016/S0140-6736(06)67924-5&lt;/electronic-resource-num&gt;&lt;language&gt;eng&lt;/language&gt;&lt;/record&gt;&lt;/Cite&gt;&lt;/EndNote&gt;</w:instrText>
      </w:r>
      <w:r w:rsidR="001D3206">
        <w:rPr>
          <w:lang w:val="en-GB"/>
        </w:rPr>
        <w:fldChar w:fldCharType="separate"/>
      </w:r>
      <w:r w:rsidR="00E968A4" w:rsidRPr="00E968A4">
        <w:rPr>
          <w:noProof/>
          <w:vertAlign w:val="superscript"/>
          <w:lang w:val="en-GB"/>
        </w:rPr>
        <w:t>39</w:t>
      </w:r>
      <w:r w:rsidR="001D3206">
        <w:rPr>
          <w:lang w:val="en-GB"/>
        </w:rPr>
        <w:fldChar w:fldCharType="end"/>
      </w:r>
      <w:r w:rsidRPr="00493A70">
        <w:rPr>
          <w:lang w:val="en-GB"/>
        </w:rPr>
        <w:t xml:space="preserve"> </w:t>
      </w:r>
    </w:p>
    <w:p w:rsidR="00436563" w:rsidRPr="00493A70" w:rsidRDefault="00436563" w:rsidP="003C7488">
      <w:pPr>
        <w:pStyle w:val="Plattetekst"/>
        <w:rPr>
          <w:lang w:val="en-GB"/>
        </w:rPr>
      </w:pPr>
      <w:r w:rsidRPr="00493A70">
        <w:rPr>
          <w:lang w:val="en-GB"/>
        </w:rPr>
        <w:t>Finland provides another example of policy failure. On joining the EU in 1994, Finland deregulated what had been a very strict alcohol control regime, including a state monopoly on alcohol. In 2004, when neighbouring Estonia, with its much lower alcohol prices, joined the EU, it reduced taxes substantially.</w:t>
      </w:r>
      <w:r w:rsidR="001D3206">
        <w:rPr>
          <w:lang w:val="en-GB"/>
        </w:rPr>
        <w:fldChar w:fldCharType="begin"/>
      </w:r>
      <w:r w:rsidR="009679B5">
        <w:rPr>
          <w:lang w:val="en-GB"/>
        </w:rPr>
        <w:instrText xml:space="preserve"> ADDIN EN.CITE &lt;EndNote&gt;&lt;Cite&gt;&lt;Author&gt;Osterberg&lt;/Author&gt;&lt;Year&gt;2011&lt;/Year&gt;&lt;RecNum&gt;64&lt;/RecNum&gt;&lt;DisplayText&gt;[34]&lt;/DisplayText&gt;&lt;record&gt;&lt;rec-number&gt;64&lt;/rec-number&gt;&lt;foreign-keys&gt;&lt;key app="EN" db-id="x0x5v9tejav5faewxt4xwrd5aav2xredt5zf"&gt;64&lt;/key&gt;&lt;/foreign-keys&gt;&lt;ref-type name="Journal Article"&gt;17&lt;/ref-type&gt;&lt;contributors&gt;&lt;authors&gt;&lt;author&gt;Osterberg, E. L.&lt;/author&gt;&lt;/authors&gt;&lt;/contributors&gt;&lt;auth-address&gt;Department of Alcohol, Drugs and Addiction, National Institute for Health and Welfare (THL), Helsinki, Finland. esa.osterberg@thl.fi&lt;/auth-address&gt;&lt;titles&gt;&lt;title&gt;Alcohol tax changes and the use of alcohol in Europe&lt;/title&gt;&lt;secondary-title&gt;Drug Alcohol Rev&lt;/secondary-title&gt;&lt;/titles&gt;&lt;pages&gt;124-9&lt;/pages&gt;&lt;volume&gt;30&lt;/volume&gt;&lt;number&gt;2&lt;/number&gt;&lt;edition&gt;2011/03/08&lt;/edition&gt;&lt;keywords&gt;&lt;keyword&gt;Alcohol Drinking/*economics/epidemiology&lt;/keyword&gt;&lt;keyword&gt;Alcoholic Beverages/*economics&lt;/keyword&gt;&lt;keyword&gt;Europe/epidemiology&lt;/keyword&gt;&lt;keyword&gt;European Union/economics&lt;/keyword&gt;&lt;keyword&gt;Humans&lt;/keyword&gt;&lt;keyword&gt;Public Policy/*economics/legislation &amp;amp; jurisprudence&lt;/keyword&gt;&lt;keyword&gt;Taxes/*economics/legislation &amp;amp; jurisprudence&lt;/keyword&gt;&lt;/keywords&gt;&lt;dates&gt;&lt;year&gt;2011&lt;/year&gt;&lt;pub-dates&gt;&lt;date&gt;Mar&lt;/date&gt;&lt;/pub-dates&gt;&lt;/dates&gt;&lt;isbn&gt;1465-3362 (Electronic)&amp;#xD;0959-5236 (Linking)&lt;/isbn&gt;&lt;accession-num&gt;21375612&lt;/accession-num&gt;&lt;urls&gt;&lt;related-urls&gt;&lt;url&gt;http://www.ncbi.nlm.nih.gov/entrez/query.fcgi?cmd=Retrieve&amp;amp;db=PubMed&amp;amp;dopt=Citation&amp;amp;list_uids=21375612&lt;/url&gt;&lt;/related-urls&gt;&lt;/urls&gt;&lt;electronic-resource-num&gt;10.1111/j.1465-3362.2010.00265.x&lt;/electronic-resource-num&gt;&lt;language&gt;eng&lt;/language&gt;&lt;/record&gt;&lt;/Cite&gt;&lt;/EndNote&gt;</w:instrText>
      </w:r>
      <w:r w:rsidR="001D3206">
        <w:rPr>
          <w:lang w:val="en-GB"/>
        </w:rPr>
        <w:fldChar w:fldCharType="separate"/>
      </w:r>
      <w:r w:rsidR="00E968A4" w:rsidRPr="00E968A4">
        <w:rPr>
          <w:noProof/>
          <w:vertAlign w:val="superscript"/>
          <w:lang w:val="en-GB"/>
        </w:rPr>
        <w:t>40</w:t>
      </w:r>
      <w:r w:rsidR="001D3206">
        <w:rPr>
          <w:lang w:val="en-GB"/>
        </w:rPr>
        <w:fldChar w:fldCharType="end"/>
      </w:r>
      <w:r w:rsidRPr="00493A70">
        <w:rPr>
          <w:lang w:val="en-GB"/>
        </w:rPr>
        <w:t xml:space="preserve"> Mortality from alcohol-related causes, including cirrhosis, went up considerably although there are indications that mortality from cardiovascular disease among the elderly went down </w:t>
      </w:r>
      <w:r w:rsidR="001D3206">
        <w:rPr>
          <w:lang w:val="en-GB"/>
        </w:rPr>
        <w:fldChar w:fldCharType="begin">
          <w:fldData xml:space="preserve">PEVuZE5vdGU+PENpdGU+PEF1dGhvcj5IZXJ0dHVhPC9BdXRob3I+PFllYXI+MjAxMTwvWWVhcj48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</w:fldData>
        </w:fldChar>
      </w:r>
      <w:r w:rsidR="009679B5">
        <w:rPr>
          <w:lang w:val="en-GB"/>
        </w:rPr>
        <w:instrText xml:space="preserve"> ADDIN EN.CITE </w:instrText>
      </w:r>
      <w:r w:rsidR="001D3206">
        <w:rPr>
          <w:lang w:val="en-GB"/>
        </w:rPr>
        <w:fldChar w:fldCharType="begin">
          <w:fldData xml:space="preserve">PEVuZE5vdGU+PENpdGU+PEF1dGhvcj5IZXJ0dHVhPC9BdXRob3I+PFllYXI+MjAxMTwvWWVhcj48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</w:fldData>
        </w:fldChar>
      </w:r>
      <w:r w:rsidR="009679B5">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41</w:t>
      </w:r>
      <w:r w:rsidR="001D3206">
        <w:rPr>
          <w:lang w:val="en-GB"/>
        </w:rPr>
        <w:fldChar w:fldCharType="end"/>
      </w:r>
      <w:r w:rsidRPr="00493A70">
        <w:rPr>
          <w:lang w:val="en-GB"/>
        </w:rPr>
        <w:t>. A relatively small increase in taxes was introduced in 2008,</w:t>
      </w:r>
      <w:r w:rsidR="001D3206">
        <w:rPr>
          <w:lang w:val="en-GB"/>
        </w:rPr>
        <w:fldChar w:fldCharType="begin"/>
      </w:r>
      <w:r w:rsidR="009679B5">
        <w:rPr>
          <w:lang w:val="en-GB"/>
        </w:rPr>
        <w:instrText xml:space="preserve"> ADDIN EN.CITE &lt;EndNote&gt;&lt;Cite&gt;&lt;Author&gt;Jeffreys&lt;/Author&gt;&lt;Year&gt;2009&lt;/Year&gt;&lt;RecNum&gt;128&lt;/RecNum&gt;&lt;DisplayText&gt;[36]&lt;/DisplayText&gt;&lt;record&gt;&lt;rec-number&gt;128&lt;/rec-number&gt;&lt;foreign-keys&gt;&lt;key app="EN" db-id="x0x5v9tejav5faewxt4xwrd5aav2xredt5zf"&gt;128&lt;/key&gt;&lt;/foreign-keys&gt;&lt;ref-type name="Journal Article"&gt;17&lt;/ref-type&gt;&lt;contributors&gt;&lt;authors&gt;&lt;author&gt;Jeffreys, B.&lt;/author&gt;&lt;/authors&gt;&lt;/contributors&gt;&lt;titles&gt;&lt;title&gt;Finland&amp;apos;s u-turn on alcohol tax. URL: http://news.bbc.co.uk/2/hi/health/7846842.stm (accessed 25 May 2012)&lt;/title&gt;&lt;/titles&gt;&lt;dates&gt;&lt;year&gt;2009&lt;/year&gt;&lt;/dates&gt;&lt;urls&gt;&lt;/urls&gt;&lt;/record&gt;&lt;/Cite&gt;&lt;/EndNote&gt;</w:instrText>
      </w:r>
      <w:r w:rsidR="001D3206">
        <w:rPr>
          <w:lang w:val="en-GB"/>
        </w:rPr>
        <w:fldChar w:fldCharType="separate"/>
      </w:r>
      <w:r w:rsidR="00E968A4" w:rsidRPr="00E968A4">
        <w:rPr>
          <w:noProof/>
          <w:vertAlign w:val="superscript"/>
          <w:lang w:val="en-GB"/>
        </w:rPr>
        <w:t>42</w:t>
      </w:r>
      <w:r w:rsidR="001D3206">
        <w:rPr>
          <w:lang w:val="en-GB"/>
        </w:rPr>
        <w:fldChar w:fldCharType="end"/>
      </w:r>
      <w:r w:rsidRPr="00493A70">
        <w:rPr>
          <w:lang w:val="en-GB"/>
        </w:rPr>
        <w:t xml:space="preserve"> following which death rates have begun to decline slightly.</w:t>
      </w:r>
    </w:p>
    <w:p w:rsidR="00436563" w:rsidRPr="00493A70" w:rsidRDefault="00436563" w:rsidP="00FD6377">
      <w:pPr>
        <w:pStyle w:val="Kop3"/>
      </w:pPr>
      <w:r w:rsidRPr="00493A70">
        <w:t>Food policy</w:t>
      </w:r>
    </w:p>
    <w:p w:rsidR="00436563" w:rsidRPr="00493A70" w:rsidRDefault="00436563" w:rsidP="003C7488">
      <w:pPr>
        <w:pStyle w:val="Plattetekst"/>
        <w:rPr>
          <w:lang w:val="en-GB"/>
        </w:rPr>
      </w:pPr>
      <w:r w:rsidRPr="00493A70">
        <w:rPr>
          <w:lang w:val="en-GB"/>
        </w:rPr>
        <w:t>Food policy is still in its infancy. As with alcohol, food consumption in Europe has historically been shaped by patterns of agriculture, giving rise to the Mediterranean diet rich in fresh fruits, vegetables and olive oil, believed to be a factor in the lower rates of ischemic heart disease in southern Europe.</w:t>
      </w:r>
      <w:r w:rsidR="001D3206">
        <w:rPr>
          <w:lang w:val="en-GB"/>
        </w:rPr>
        <w:fldChar w:fldCharType="begin"/>
      </w:r>
      <w:r w:rsidR="009679B5">
        <w:rPr>
          <w:lang w:val="en-GB"/>
        </w:rPr>
        <w:instrText xml:space="preserve"> ADDIN EN.CITE &lt;EndNote&gt;&lt;Cite&gt;&lt;Author&gt;de Lorgeril&lt;/Author&gt;&lt;Year&gt;2008&lt;/Year&gt;&lt;RecNum&gt;70&lt;/RecNum&gt;&lt;DisplayText&gt;[37]&lt;/DisplayText&gt;&lt;record&gt;&lt;rec-number&gt;70&lt;/rec-number&gt;&lt;foreign-keys&gt;&lt;key app="EN" db-id="x0x5v9tejav5faewxt4xwrd5aav2xredt5zf"&gt;70&lt;/key&gt;&lt;/foreign-keys&gt;&lt;ref-type name="Journal Article"&gt;17&lt;/ref-type&gt;&lt;contributors&gt;&lt;authors&gt;&lt;author&gt;de Lorgeril, M.&lt;/author&gt;&lt;author&gt;Salen, P.&lt;/author&gt;&lt;/authors&gt;&lt;/contributors&gt;&lt;auth-address&gt;TIMC-PRETA, Coeur &amp;amp; Nutrition, CNRS UMR 5525, Faculte de Medecine, Domaine de la Merci, Universite de Grenoble, 38706 La Tronche, France. michel.delorgeril@ujf-grenoble.fr&lt;/auth-address&gt;&lt;titles&gt;&lt;title&gt;The Mediterranean diet: rationale and evidence for its benefit&lt;/title&gt;&lt;secondary-title&gt;Curr Atheroscler Rep&lt;/secondary-title&gt;&lt;/titles&gt;&lt;pages&gt;518-22&lt;/pages&gt;&lt;volume&gt;10&lt;/volume&gt;&lt;number&gt;6&lt;/number&gt;&lt;edition&gt;2008/10/22&lt;/edition&gt;&lt;keywords&gt;&lt;keyword&gt;Atherosclerosis/prevention &amp;amp; control&lt;/keyword&gt;&lt;keyword&gt;Coronary Disease/*prevention &amp;amp; control&lt;/keyword&gt;&lt;keyword&gt;*Diet, Mediterranean&lt;/keyword&gt;&lt;keyword&gt;Humans&lt;/keyword&gt;&lt;keyword&gt;Neoplasms/prevention &amp;amp; control&lt;/keyword&gt;&lt;/keywords&gt;&lt;dates&gt;&lt;year&gt;2008&lt;/year&gt;&lt;pub-dates&gt;&lt;date&gt;Dec&lt;/date&gt;&lt;/pub-dates&gt;&lt;/dates&gt;&lt;isbn&gt;1534-6242 (Electronic)&amp;#xD;1523-3804 (Linking)&lt;/isbn&gt;&lt;accession-num&gt;18937900&lt;/accession-num&gt;&lt;urls&gt;&lt;related-urls&gt;&lt;url&gt;http://www.ncbi.nlm.nih.gov/entrez/query.fcgi?cmd=Retrieve&amp;amp;db=PubMed&amp;amp;dopt=Citation&amp;amp;list_uids=18937900&lt;/url&gt;&lt;/related-urls&gt;&lt;/urls&gt;&lt;language&gt;eng&lt;/language&gt;&lt;/record&gt;&lt;/Cite&gt;&lt;/EndNote&gt;</w:instrText>
      </w:r>
      <w:r w:rsidR="001D3206">
        <w:rPr>
          <w:lang w:val="en-GB"/>
        </w:rPr>
        <w:fldChar w:fldCharType="separate"/>
      </w:r>
      <w:r w:rsidR="00E968A4" w:rsidRPr="00E968A4">
        <w:rPr>
          <w:noProof/>
          <w:vertAlign w:val="superscript"/>
          <w:lang w:val="en-GB"/>
        </w:rPr>
        <w:t>43</w:t>
      </w:r>
      <w:r w:rsidR="001D3206">
        <w:rPr>
          <w:lang w:val="en-GB"/>
        </w:rPr>
        <w:fldChar w:fldCharType="end"/>
      </w:r>
      <w:r w:rsidRPr="00493A70">
        <w:rPr>
          <w:lang w:val="en-GB"/>
        </w:rPr>
        <w:t xml:space="preserve"> In recent decades, European diets have changed considerably, with mixed consequences for health. On the one hand, there has been an increase in the consumption of animal products in those southern European countries that traditionally had healthy diets. On the other hand, people in northern Europe, whose diets were previously characterised by high levels of fat and low micronutrients, are eating more fresh fruit and vegetables </w:t>
      </w:r>
      <w:r w:rsidR="001D3206">
        <w:rPr>
          <w:lang w:val="en-GB"/>
        </w:rPr>
        <w:fldChar w:fldCharType="begin"/>
      </w:r>
      <w:r w:rsidR="00E968A4">
        <w:rPr>
          <w:lang w:val="en-GB"/>
        </w:rPr>
        <w:instrText xml:space="preserve"> ADDIN EN.CITE &lt;EndNote&gt;&lt;Cite&gt;&lt;Author&gt;Elmadfa&lt;/Author&gt;&lt;Year&gt;2009&lt;/Year&gt;&lt;RecNum&gt;38&lt;/RecNum&gt;&lt;record&gt;&lt;rec-number&gt;38&lt;/rec-number&gt;&lt;foreign-keys&gt;&lt;key app="EN" db-id="tss0rdex3zvparert03vs0prx5pspz50ftd5"&gt;38&lt;/key&gt;&lt;/foreign-keys&gt;&lt;ref-type name="Book"&gt;6&lt;/ref-type&gt;&lt;contributors&gt;&lt;authors&gt;&lt;author&gt;Elmadfa, I.&lt;/author&gt;&lt;/authors&gt;&lt;/contributors&gt;&lt;titles&gt;&lt;title&gt;European nutrition and health report 2009&lt;/title&gt;&lt;secondary-title&gt;Forum of Nutrition&lt;/secondary-title&gt;&lt;/titles&gt;&lt;volume&gt;62&lt;/volume&gt;&lt;dates&gt;&lt;year&gt;2009&lt;/year&gt;&lt;/dates&gt;&lt;pub-location&gt;Basel etc. &lt;/pub-location&gt;&lt;publisher&gt;Karger&lt;/publisher&gt;&lt;isbn&gt;978–3–8055–9296–3&lt;/isbn&gt;&lt;urls&gt;&lt;/urls&gt;&lt;/record&gt;&lt;/Cite&gt;&lt;/EndNote&gt;</w:instrText>
      </w:r>
      <w:r w:rsidR="001D3206">
        <w:rPr>
          <w:lang w:val="en-GB"/>
        </w:rPr>
        <w:fldChar w:fldCharType="separate"/>
      </w:r>
      <w:r w:rsidR="00E968A4" w:rsidRPr="00E968A4">
        <w:rPr>
          <w:noProof/>
          <w:vertAlign w:val="superscript"/>
          <w:lang w:val="en-GB"/>
        </w:rPr>
        <w:t>44</w:t>
      </w:r>
      <w:r w:rsidR="001D3206">
        <w:rPr>
          <w:lang w:val="en-GB"/>
        </w:rPr>
        <w:fldChar w:fldCharType="end"/>
      </w:r>
      <w:r w:rsidRPr="00493A70">
        <w:rPr>
          <w:lang w:val="en-GB"/>
        </w:rPr>
        <w:t xml:space="preserve">. To a considerable extent these changes have been a consequence of globalisation of food production and marketing, </w:t>
      </w:r>
      <w:r>
        <w:rPr>
          <w:lang w:val="en-GB"/>
        </w:rPr>
        <w:t xml:space="preserve">including the European common market, </w:t>
      </w:r>
      <w:r w:rsidRPr="00493A70">
        <w:rPr>
          <w:lang w:val="en-GB"/>
        </w:rPr>
        <w:t xml:space="preserve">and what government intervention took place was largely to support the agricultural industry, for example by providing subsidies regardless of the health effects of consuming what was being supported. </w:t>
      </w:r>
    </w:p>
    <w:p w:rsidR="00436563" w:rsidRPr="00493A70" w:rsidRDefault="00436563" w:rsidP="003C7488">
      <w:pPr>
        <w:pStyle w:val="Plattetekst"/>
        <w:rPr>
          <w:lang w:val="en-GB"/>
        </w:rPr>
      </w:pPr>
      <w:r w:rsidRPr="00493A70">
        <w:rPr>
          <w:lang w:val="en-GB"/>
        </w:rPr>
        <w:t xml:space="preserve">However, there are a few examples of where governments have stepped in to influence nutrition on grounds of health. The most </w:t>
      </w:r>
      <w:r w:rsidR="0051672D" w:rsidRPr="00493A70">
        <w:rPr>
          <w:lang w:val="en-GB"/>
        </w:rPr>
        <w:t>well-known</w:t>
      </w:r>
      <w:r w:rsidRPr="00493A70">
        <w:rPr>
          <w:lang w:val="en-GB"/>
        </w:rPr>
        <w:t xml:space="preserve"> is in Finland where the North Karelia project, initiated in 1972, adopted a multisectoral approach to improve the traditional unhealthy Finnish diet.</w:t>
      </w:r>
      <w:r w:rsidR="001D3206">
        <w:rPr>
          <w:lang w:val="en-GB"/>
        </w:rPr>
        <w:fldChar w:fldCharType="begin">
          <w:fldData xml:space="preserve">PEVuZE5vdGU+PENpdGU+PEF1dGhvcj5WYXJ0aWFpbmVuPC9BdXRob3I+PFllYXI+MjAxMDwvWWVh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</w:fldData>
        </w:fldChar>
      </w:r>
      <w:r w:rsidR="009679B5">
        <w:rPr>
          <w:lang w:val="en-GB"/>
        </w:rPr>
        <w:instrText xml:space="preserve"> ADDIN EN.CITE </w:instrText>
      </w:r>
      <w:r w:rsidR="001D3206">
        <w:rPr>
          <w:lang w:val="en-GB"/>
        </w:rPr>
        <w:fldChar w:fldCharType="begin">
          <w:fldData xml:space="preserve">PEVuZE5vdGU+PENpdGU+PEF1dGhvcj5WYXJ0aWFpbmVuPC9BdXRob3I+PFllYXI+MjAxMDwvWWVh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</w:fldData>
        </w:fldChar>
      </w:r>
      <w:r w:rsidR="009679B5">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45</w:t>
      </w:r>
      <w:r w:rsidR="001D3206">
        <w:rPr>
          <w:lang w:val="en-GB"/>
        </w:rPr>
        <w:fldChar w:fldCharType="end"/>
      </w:r>
      <w:r w:rsidRPr="00493A70">
        <w:rPr>
          <w:lang w:val="en-GB"/>
        </w:rPr>
        <w:t xml:space="preserve"> Although there have been many similar projects elsewhere, albeit on a more localised scale, until recently European governments have been reluctant to take specific measures to influence what we eat on grounds of health. However, this may be changing, with Denmark taking action on trans-fats </w:t>
      </w:r>
      <w:r w:rsidR="001D3206">
        <w:rPr>
          <w:lang w:val="en-GB"/>
        </w:rPr>
        <w:fldChar w:fldCharType="begin"/>
      </w:r>
      <w:r w:rsidR="009679B5">
        <w:rPr>
          <w:lang w:val="en-GB"/>
        </w:rPr>
        <w:instrText xml:space="preserve"> ADDIN EN.CITE &lt;EndNote&gt;&lt;Cite&gt;&lt;Author&gt;Leth&lt;/Author&gt;&lt;Year&gt;2006&lt;/Year&gt;&lt;RecNum&gt;115&lt;/RecNum&gt;&lt;DisplayText&gt;[40]&lt;/DisplayText&gt;&lt;record&gt;&lt;rec-number&gt;115&lt;/rec-number&gt;&lt;foreign-keys&gt;&lt;key app="EN" db-id="x0x5v9tejav5faewxt4xwrd5aav2xredt5zf"&gt;115&lt;/key&gt;&lt;/foreign-keys&gt;&lt;ref-type name="Journal Article"&gt;17&lt;/ref-type&gt;&lt;contributors&gt;&lt;authors&gt;&lt;author&gt;Leth, Torben&lt;/author&gt;&lt;author&gt;Jensen, Henrik G.&lt;/author&gt;&lt;author&gt;Mikkelsen, Aase Ærendahl&lt;/author&gt;&lt;author&gt;Bysted, Anette&lt;/author&gt;&lt;/authors&gt;&lt;/contributors&gt;&lt;titles&gt;&lt;title&gt;The effect of the regulation on trans fatty acid content in Danish food&lt;/title&gt;&lt;secondary-title&gt;Atherosclerosis Supplements&lt;/secondary-title&gt;&lt;/titles&gt;&lt;periodical&gt;&lt;full-title&gt;Atherosclerosis Supplements&lt;/full-title&gt;&lt;/periodical&gt;&lt;pages&gt;53-56&lt;/pages&gt;&lt;volume&gt;7&lt;/volume&gt;&lt;number&gt;2&lt;/number&gt;&lt;keywords&gt;&lt;keyword&gt;Denmark&lt;/keyword&gt;&lt;keyword&gt;Intake&lt;/keyword&gt;&lt;keyword&gt;Monitoring&lt;/keyword&gt;&lt;keyword&gt;Regulation&lt;/keyword&gt;&lt;keyword&gt;Trans fatty acids&lt;/keyword&gt;&lt;/keywords&gt;&lt;dates&gt;&lt;year&gt;2006&lt;/year&gt;&lt;/dates&gt;&lt;isbn&gt;1567-5688&lt;/isbn&gt;&lt;urls&gt;&lt;related-urls&gt;&lt;url&gt;http://www.sciencedirect.com/science/article/pii/S1567568806000389&lt;/url&gt;&lt;/related-urls&gt;&lt;/urls&gt;&lt;electronic-resource-num&gt;10.1016/j.atherosclerosissup.2006.04.019&lt;/electronic-resource-num&gt;&lt;/record&gt;&lt;/Cite&gt;&lt;/EndNote&gt;</w:instrText>
      </w:r>
      <w:r w:rsidR="001D3206">
        <w:rPr>
          <w:lang w:val="en-GB"/>
        </w:rPr>
        <w:fldChar w:fldCharType="separate"/>
      </w:r>
      <w:r w:rsidR="00E968A4" w:rsidRPr="00E968A4">
        <w:rPr>
          <w:noProof/>
          <w:vertAlign w:val="superscript"/>
          <w:lang w:val="en-GB"/>
        </w:rPr>
        <w:t>46</w:t>
      </w:r>
      <w:r w:rsidR="001D3206">
        <w:rPr>
          <w:lang w:val="en-GB"/>
        </w:rPr>
        <w:fldChar w:fldCharType="end"/>
      </w:r>
      <w:r w:rsidRPr="00493A70">
        <w:rPr>
          <w:lang w:val="en-GB"/>
        </w:rPr>
        <w:t>, several countries, such as France and Finland, imposing new taxes on sweetened soft drinks, and some countries considering action on salt.</w:t>
      </w:r>
    </w:p>
    <w:p w:rsidR="00436563" w:rsidRPr="00493A70" w:rsidRDefault="00436563">
      <w:pPr>
        <w:pStyle w:val="Kop3"/>
      </w:pPr>
      <w:r w:rsidRPr="00493A70">
        <w:t>Road traffic safety</w:t>
      </w:r>
    </w:p>
    <w:p w:rsidR="00436563" w:rsidRPr="00493A70" w:rsidRDefault="00436563" w:rsidP="003C7488">
      <w:pPr>
        <w:pStyle w:val="Plattetekst"/>
        <w:rPr>
          <w:lang w:val="en-GB"/>
        </w:rPr>
      </w:pPr>
      <w:r w:rsidRPr="00493A70">
        <w:rPr>
          <w:lang w:val="en-GB"/>
        </w:rPr>
        <w:t xml:space="preserve">Road traffic safety is another success story in Western Europe. The death rate from motor vehicle traffic injuries among the 15 pre-2004 EU Member States has fallen from 22.3 per 100,000 in 1970 to 5.8 in 2009, partly as a result of policies to make roads safer, to implement and enforce legislation on seat belts (Figure 3c), speed limits, helmets and drunk driving, and to educate the public with media campaigns </w:t>
      </w:r>
      <w:r w:rsidR="001D3206">
        <w:rPr>
          <w:lang w:val="en-GB"/>
        </w:rPr>
        <w:fldChar w:fldCharType="begin"/>
      </w:r>
      <w:r w:rsidR="00E968A4">
        <w:rPr>
          <w:lang w:val="en-GB"/>
        </w:rPr>
        <w:instrText xml:space="preserve"> ADDIN EN.CITE &lt;EndNote&gt;&lt;Cite&gt;&lt;Author&gt;Racioppi&lt;/Author&gt;&lt;Year&gt;2004&lt;/Year&gt;&lt;RecNum&gt;41&lt;/RecNum&gt;&lt;record&gt;&lt;rec-number&gt;41&lt;/rec-number&gt;&lt;foreign-keys&gt;&lt;key app="EN" db-id="tss0rdex3zvparert03vs0prx5pspz50ftd5"&gt;41&lt;/key&gt;&lt;/foreign-keys&gt;&lt;ref-type name="Report"&gt;27&lt;/ref-type&gt;&lt;contributors&gt;&lt;authors&gt;&lt;author&gt;Racioppi, F. &lt;/author&gt;&lt;/authors&gt;&lt;/contributors&gt;&lt;titles&gt;&lt;title&gt;Preventing road traffic injury: a public health perspective for Europe&lt;/title&gt;&lt;/titles&gt;&lt;dates&gt;&lt;year&gt;2004&lt;/year&gt;&lt;/dates&gt;&lt;pub-location&gt;Copenhagen&lt;/pub-location&gt;&lt;publisher&gt;WHO Regional Office for Europe &lt;/publisher&gt;&lt;urls&gt;&lt;/urls&gt;&lt;/record&gt;&lt;/Cite&gt;&lt;Cite&gt;&lt;Author&gt;World Health Organization&lt;/Author&gt;&lt;Year&gt;2009&lt;/Year&gt;&lt;RecNum&gt;103&lt;/RecNum&gt;&lt;record&gt;&lt;rec-number&gt;103&lt;/rec-number&gt;&lt;foreign-keys&gt;&lt;key app='EN' db-id='x0x5v9tejav5faewxt4xwrd5aav2xredt5zf'&gt;103&lt;/key&gt;&lt;/foreign-keys&gt;&lt;ref-type name='Report'&gt;27&lt;/ref-type&gt;&lt;contributors&gt;&lt;authors&gt;&lt;author&gt;World Health Organization,&lt;/author&gt;&lt;/authors&gt;&lt;/contributors&gt;&lt;titles&gt;&lt;title&gt;European status report on road safety. &lt;/title&gt;&lt;/titles&gt;&lt;dates&gt;&lt;year&gt;2009&lt;/year&gt;&lt;/dates&gt;&lt;pub-location&gt;Copenhagen&lt;/pub-location&gt;&lt;publisher&gt;WHO Regional Office for Europe&lt;/publisher&gt;&lt;urls&gt;&lt;related-urls&gt;&lt;url&gt;http://www.euro.who.int/en/what-we-publish/abstracts/european-status-report-on-road-safety.-towards-safer-roads-and-healthier-transport-choices&lt;/url&gt;&lt;/related-urls&gt;&lt;/urls&gt;&lt;/record&gt;&lt;/Cite&gt;&lt;/EndNote&gt;</w:instrText>
      </w:r>
      <w:r w:rsidR="001D3206">
        <w:rPr>
          <w:lang w:val="en-GB"/>
        </w:rPr>
        <w:fldChar w:fldCharType="separate"/>
      </w:r>
      <w:r w:rsidR="00E968A4" w:rsidRPr="00E968A4">
        <w:rPr>
          <w:noProof/>
          <w:vertAlign w:val="superscript"/>
          <w:lang w:val="en-GB"/>
        </w:rPr>
        <w:t>47-48</w:t>
      </w:r>
      <w:r w:rsidR="001D3206">
        <w:rPr>
          <w:lang w:val="en-GB"/>
        </w:rPr>
        <w:fldChar w:fldCharType="end"/>
      </w:r>
      <w:r w:rsidRPr="00493A70">
        <w:rPr>
          <w:lang w:val="en-GB"/>
        </w:rPr>
        <w:t xml:space="preserve">. </w:t>
      </w:r>
    </w:p>
    <w:p w:rsidR="00436563" w:rsidRPr="00493A70" w:rsidRDefault="00436563" w:rsidP="003C7488">
      <w:pPr>
        <w:pStyle w:val="Plattetekst"/>
        <w:rPr>
          <w:lang w:val="en-GB"/>
        </w:rPr>
      </w:pPr>
      <w:r w:rsidRPr="00493A70">
        <w:rPr>
          <w:lang w:val="en-GB"/>
        </w:rPr>
        <w:t xml:space="preserve">Some of the greatest declines have been in those countries with the highest initial rates, such as Portugal, which has progressively introduced a set of comprehensive measures. Yet other countries, where death rates were already relatively low, have achieved even further </w:t>
      </w:r>
      <w:r w:rsidRPr="00493A70">
        <w:rPr>
          <w:lang w:val="en-GB"/>
        </w:rPr>
        <w:lastRenderedPageBreak/>
        <w:t xml:space="preserve">declines. In 1997 Sweden launched its Vision Zero campaign, which brought together the transport, education, justice environment and health sectors to pursue a goal of preventing all deaths and serious injuries on Swedish roads </w:t>
      </w:r>
      <w:r w:rsidR="001D3206">
        <w:rPr>
          <w:lang w:val="en-GB"/>
        </w:rPr>
        <w:fldChar w:fldCharType="begin"/>
      </w:r>
      <w:r w:rsidR="00E968A4">
        <w:rPr>
          <w:lang w:val="en-GB"/>
        </w:rPr>
        <w:instrText xml:space="preserve"> ADDIN EN.CITE &lt;EndNote&gt;&lt;Cite&gt;&lt;Author&gt;Belin&lt;/Author&gt;&lt;Year&gt;2011&lt;/Year&gt;&lt;RecNum&gt;43&lt;/RecNum&gt;&lt;record&gt;&lt;rec-number&gt;43&lt;/rec-number&gt;&lt;foreign-keys&gt;&lt;key app="EN" db-id="tss0rdex3zvparert03vs0prx5pspz50ftd5"&gt;43&lt;/key&gt;&lt;/foreign-keys&gt;&lt;ref-type name="Journal Article"&gt;17&lt;/ref-type&gt;&lt;contributors&gt;&lt;authors&gt;&lt;author&gt;Belin, M. A.&lt;/author&gt;&lt;author&gt;Tillgren, P.&lt;/author&gt;&lt;author&gt;Vedung, E.&lt;/author&gt;&lt;/authors&gt;&lt;/contributors&gt;&lt;auth-address&gt;a Departement of Public Health Sciences , Karolinska Institutet , Stockholm , Sweden.&lt;/auth-address&gt;&lt;titles&gt;&lt;title&gt;Vision Zero - a road safety policy innovation&lt;/title&gt;&lt;secondary-title&gt;Int J Inj Contr Saf Promot&lt;/secondary-title&gt;&lt;/titles&gt;&lt;periodical&gt;&lt;full-title&gt;Int J Inj Contr Saf Promot&lt;/full-title&gt;&lt;/periodical&gt;&lt;edition&gt;2011/12/15&lt;/edition&gt;&lt;dates&gt;&lt;year&gt;2011&lt;/year&gt;&lt;pub-dates&gt;&lt;date&gt;Dec 14&lt;/date&gt;&lt;/pub-dates&gt;&lt;/dates&gt;&lt;isbn&gt;1745-7319 (Electronic)&amp;#xD;1745-7300 (Linking)&lt;/isbn&gt;&lt;accession-num&gt;22166010&lt;/accession-num&gt;&lt;urls&gt;&lt;related-urls&gt;&lt;url&gt;http://www.ncbi.nlm.nih.gov/entrez/query.fcgi?cmd=Retrieve&amp;amp;db=PubMed&amp;amp;dopt=Citation&amp;amp;list_uids=22166010&lt;/url&gt;&lt;/related-urls&gt;&lt;/urls&gt;&lt;electronic-resource-num&gt;10.1080/17457300.2011.635213&lt;/electronic-resource-num&gt;&lt;language&gt;Eng&lt;/language&gt;&lt;/record&gt;&lt;/Cite&gt;&lt;/EndNote&gt;</w:instrText>
      </w:r>
      <w:r w:rsidR="001D3206">
        <w:rPr>
          <w:lang w:val="en-GB"/>
        </w:rPr>
        <w:fldChar w:fldCharType="separate"/>
      </w:r>
      <w:r w:rsidR="00E968A4" w:rsidRPr="00E968A4">
        <w:rPr>
          <w:noProof/>
          <w:vertAlign w:val="superscript"/>
          <w:lang w:val="en-GB"/>
        </w:rPr>
        <w:t>49</w:t>
      </w:r>
      <w:r w:rsidR="001D3206">
        <w:rPr>
          <w:lang w:val="en-GB"/>
        </w:rPr>
        <w:fldChar w:fldCharType="end"/>
      </w:r>
      <w:r w:rsidRPr="00493A70">
        <w:rPr>
          <w:lang w:val="en-GB"/>
        </w:rPr>
        <w:t xml:space="preserve">. Similarly, in the 1990s, the Netherlands adopted the Sustainable Safety Strategy, which placed a particular emphasis on design to protect cyclists and pedestrians </w:t>
      </w:r>
      <w:r w:rsidR="001D3206">
        <w:rPr>
          <w:lang w:val="en-GB"/>
        </w:rPr>
        <w:fldChar w:fldCharType="begin"/>
      </w:r>
      <w:r w:rsidR="009679B5">
        <w:rPr>
          <w:lang w:val="en-GB"/>
        </w:rPr>
        <w:instrText xml:space="preserve"> ADDIN EN.CITE &lt;EndNote&gt;&lt;Cite&gt;&lt;Author&gt;Weijermars&lt;/Author&gt;&lt;Year&gt;2009&lt;/Year&gt;&lt;RecNum&gt;69&lt;/RecNum&gt;&lt;DisplayText&gt;[44]&lt;/DisplayText&gt;&lt;record&gt;&lt;rec-number&gt;69&lt;/rec-number&gt;&lt;foreign-keys&gt;&lt;key app="EN" db-id="x0x5v9tejav5faewxt4xwrd5aav2xredt5zf"&gt;69&lt;/key&gt;&lt;/foreign-keys&gt;&lt;ref-type name="Book"&gt;6&lt;/ref-type&gt;&lt;contributors&gt;&lt;authors&gt;&lt;author&gt;Weijermars, W. A. M.&lt;/author&gt;&lt;author&gt;van Schagen, I. N. L. G.&lt;/author&gt;&lt;/authors&gt;&lt;/contributors&gt;&lt;titles&gt;&lt;title&gt;Tien jaar Duurzaam Veilig: verkeersveiligheidsbalans 1998–2007 [Ten years of Sustainable Safety; Road Safety Assessment 1998–2007] (in Dutch)&lt;/title&gt;&lt;/titles&gt;&lt;dates&gt;&lt;year&gt;2009&lt;/year&gt;&lt;/dates&gt;&lt;pub-location&gt;Leidschendam&lt;/pub-location&gt;&lt;publisher&gt;SWOV&lt;/publisher&gt;&lt;urls&gt;&lt;/urls&gt;&lt;/record&gt;&lt;/Cite&gt;&lt;/EndNote&gt;</w:instrText>
      </w:r>
      <w:r w:rsidR="001D3206">
        <w:rPr>
          <w:lang w:val="en-GB"/>
        </w:rPr>
        <w:fldChar w:fldCharType="separate"/>
      </w:r>
      <w:r w:rsidR="00E968A4" w:rsidRPr="00E968A4">
        <w:rPr>
          <w:noProof/>
          <w:vertAlign w:val="superscript"/>
          <w:lang w:val="en-GB"/>
        </w:rPr>
        <w:t>50</w:t>
      </w:r>
      <w:r w:rsidR="001D3206">
        <w:rPr>
          <w:lang w:val="en-GB"/>
        </w:rPr>
        <w:fldChar w:fldCharType="end"/>
      </w:r>
      <w:r w:rsidRPr="00493A70">
        <w:rPr>
          <w:lang w:val="en-GB"/>
        </w:rPr>
        <w:t>. Sweden and the Netherlands have the lowest death rates from motor vehicle accidents among the pre-2004 EU Member States. Unfortunately, not everywhere has road safety been so successful and death rates in Greece have increased over the past four decades.</w:t>
      </w:r>
    </w:p>
    <w:p w:rsidR="00436563" w:rsidRPr="00493A70" w:rsidRDefault="00436563">
      <w:pPr>
        <w:pStyle w:val="Kop2"/>
      </w:pPr>
      <w:r w:rsidRPr="00493A70">
        <w:t>Successes and failures of health policy in central and eastern Europe and the former Soviet Union</w:t>
      </w:r>
    </w:p>
    <w:p w:rsidR="00436563" w:rsidRPr="00493A70" w:rsidRDefault="00436563" w:rsidP="00F749CF">
      <w:pPr>
        <w:pStyle w:val="Plattetekst"/>
        <w:rPr>
          <w:lang w:val="en-GB"/>
        </w:rPr>
      </w:pPr>
      <w:r w:rsidRPr="00493A70">
        <w:rPr>
          <w:lang w:val="en-GB"/>
        </w:rPr>
        <w:t>Unfortunately there are rather fewer successes to report in central and eastern Europe and the former Soviet Union, and the less favourable health trends in these parts of Europe are partly attributable to a lack of implementation of effective health policies. Before the collapse of the Soviet Union many areas of health policy were seriously underdeveloped. There was almost no tobacco control, alcohol control was erratic, and awareness of the health risks of a diet rich in saturated fats and low in fruits and vegetables was low, resulting in high rates of chronic disease. In Romania, the policies adopted by Nicolae Ceausescu had especially tragic health impacts, with extremely high levels of maternal mortality due to the prohibition of contraception and induced abortion, and a cohort of children infected by HIV as a consequence of the bizarre policy of giving blood transfusions with the idea that they would boost the immune system of malnourished children.</w:t>
      </w:r>
      <w:r w:rsidRPr="00493A70" w:rsidDel="0027315A">
        <w:t xml:space="preserve"> </w:t>
      </w:r>
      <w:r w:rsidR="001D3206">
        <w:fldChar w:fldCharType="begin"/>
      </w:r>
      <w:r w:rsidR="00E968A4">
        <w:instrText xml:space="preserve"> ADDIN EN.CITE &lt;EndNote&gt;&lt;Cite&gt;&lt;Author&gt;Dolea&lt;/Author&gt;&lt;Year&gt;2002&lt;/Year&gt;&lt;RecNum&gt;45&lt;/RecNum&gt;&lt;record&gt;&lt;rec-number&gt;45&lt;/rec-number&gt;&lt;foreign-keys&gt;&lt;key app="EN" db-id="tss0rdex3zvparert03vs0prx5pspz50ftd5"&gt;45&lt;/key&gt;&lt;/foreign-keys&gt;&lt;ref-type name="Journal Article"&gt;17&lt;/ref-type&gt;&lt;contributors&gt;&lt;authors&gt;&lt;author&gt;Dolea, C.&lt;/author&gt;&lt;author&gt;Nolte, E.&lt;/author&gt;&lt;author&gt;McKee, M.&lt;/author&gt;&lt;/authors&gt;&lt;/contributors&gt;&lt;auth-address&gt;Department of Public Health and Management, Carol Davila University of Medicine and Pharmacy, Bucharest, Romania.&lt;/auth-address&gt;&lt;titles&gt;&lt;title&gt;Changing life expectancy in Romania after the transition&lt;/title&gt;&lt;secondary-title&gt;J Epidemiol Community Health&lt;/secondary-title&gt;&lt;/titles&gt;&lt;periodical&gt;&lt;full-title&gt;J Epidemiol Community Health&lt;/full-title&gt;&lt;/periodical&gt;&lt;pages&gt;444-9&lt;/pages&gt;&lt;volume&gt;56&lt;/volume&gt;&lt;number&gt;6&lt;/number&gt;&lt;edition&gt;2002/05/16&lt;/edition&gt;&lt;keywords&gt;&lt;keyword&gt;Acquired Immunodeficiency Syndrome/mortality&lt;/keyword&gt;&lt;keyword&gt;Age Distribution&lt;/keyword&gt;&lt;keyword&gt;Cardiovascular Diseases/mortality&lt;/keyword&gt;&lt;keyword&gt;Cause of Death&lt;/keyword&gt;&lt;keyword&gt;Digestive System Diseases/mortality&lt;/keyword&gt;&lt;keyword&gt;Female&lt;/keyword&gt;&lt;keyword&gt;Humans&lt;/keyword&gt;&lt;keyword&gt;Life Expectancy/*trends&lt;/keyword&gt;&lt;keyword&gt;Male&lt;/keyword&gt;&lt;keyword&gt;Mortality/*trends&lt;/keyword&gt;&lt;keyword&gt;Politics&lt;/keyword&gt;&lt;keyword&gt;Romania/epidemiology&lt;/keyword&gt;&lt;keyword&gt;Sex Distribution&lt;/keyword&gt;&lt;keyword&gt;Survival Analysis&lt;/keyword&gt;&lt;/keywords&gt;&lt;dates&gt;&lt;year&gt;2002&lt;/year&gt;&lt;pub-dates&gt;&lt;date&gt;Jun&lt;/date&gt;&lt;/pub-dates&gt;&lt;/dates&gt;&lt;isbn&gt;0143-005X (Print)&amp;#xD;0143-005X (Linking)&lt;/isbn&gt;&lt;accession-num&gt;12011202&lt;/accession-num&gt;&lt;urls&gt;&lt;related-urls&gt;&lt;url&gt;http://www.ncbi.nlm.nih.gov/entrez/query.fcgi?cmd=Retrieve&amp;amp;db=PubMed&amp;amp;dopt=Citation&amp;amp;list_uids=12011202&lt;/url&gt;&lt;/related-urls&gt;&lt;/urls&gt;&lt;custom2&gt;1732171&lt;/custom2&gt;&lt;language&gt;eng&lt;/language&gt;&lt;/record&gt;&lt;/Cite&gt;&lt;/EndNote&gt;</w:instrText>
      </w:r>
      <w:r w:rsidR="001D3206">
        <w:fldChar w:fldCharType="separate"/>
      </w:r>
      <w:r w:rsidR="00E968A4" w:rsidRPr="00E968A4">
        <w:rPr>
          <w:noProof/>
          <w:vertAlign w:val="superscript"/>
        </w:rPr>
        <w:t>51</w:t>
      </w:r>
      <w:r w:rsidR="001D3206">
        <w:fldChar w:fldCharType="end"/>
      </w:r>
    </w:p>
    <w:p w:rsidR="00436563" w:rsidRPr="00493A70" w:rsidRDefault="00436563" w:rsidP="00195F67">
      <w:pPr>
        <w:pStyle w:val="Kop3"/>
      </w:pPr>
      <w:r w:rsidRPr="00493A70">
        <w:t>Tobacco and alcohol control</w:t>
      </w:r>
    </w:p>
    <w:p w:rsidR="00436563" w:rsidRPr="00493A70" w:rsidRDefault="00436563" w:rsidP="003C7488">
      <w:pPr>
        <w:pStyle w:val="Plattetekst"/>
        <w:rPr>
          <w:lang w:val="en-GB"/>
        </w:rPr>
      </w:pPr>
      <w:r w:rsidRPr="00493A70">
        <w:rPr>
          <w:lang w:val="en-GB"/>
        </w:rPr>
        <w:t>Tobacco control still lags behind that in the west, although some countries are making progress. The downside to the fall of the Iron Curtain has been the entry to formerly closed markets by the transnational tobacco industries who have marketed their products aggressively,</w:t>
      </w:r>
      <w:r w:rsidR="001D3206">
        <w:rPr>
          <w:lang w:val="en-GB"/>
        </w:rPr>
        <w:fldChar w:fldCharType="begin"/>
      </w:r>
      <w:r w:rsidR="009679B5">
        <w:rPr>
          <w:lang w:val="en-GB"/>
        </w:rPr>
        <w:instrText xml:space="preserve"> ADDIN EN.CITE &lt;EndNote&gt;&lt;Cite&gt;&lt;Author&gt;Gilmore&lt;/Author&gt;&lt;Year&gt;2004&lt;/Year&gt;&lt;RecNum&gt;74&lt;/RecNum&gt;&lt;DisplayText&gt;[46]&lt;/DisplayText&gt;&lt;record&gt;&lt;rec-number&gt;74&lt;/rec-number&gt;&lt;foreign-keys&gt;&lt;key app="EN" db-id="x0x5v9tejav5faewxt4xwrd5aav2xredt5zf"&gt;74&lt;/key&gt;&lt;/foreign-keys&gt;&lt;ref-type name="Journal Article"&gt;17&lt;/ref-type&gt;&lt;contributors&gt;&lt;authors&gt;&lt;author&gt;Gilmore, A. B.&lt;/author&gt;&lt;author&gt;McKee, M.&lt;/author&gt;&lt;/authors&gt;&lt;/contributors&gt;&lt;auth-address&gt;European Centre on Health of Societies in Transition (ECOHOST), London School of Hygiene and Tropical Medicine, London, UK. anna.gilmore@lshtm.ac.uk &amp;lt;anna.gilmore@lshtm.ac.uk&amp;gt;&lt;/auth-address&gt;&lt;titles&gt;&lt;title&gt;Moving East: how the transnational tobacco industry gained entry to the emerging markets of the former Soviet Union-part II: an overview of priorities and tactics used to establish a manufacturing presence&lt;/title&gt;&lt;secondary-title&gt;Tob Control&lt;/secondary-title&gt;&lt;/titles&gt;&lt;pages&gt;151-60&lt;/pages&gt;&lt;volume&gt;13&lt;/volume&gt;&lt;number&gt;2&lt;/number&gt;&lt;edition&gt;2004/06/04&lt;/edition&gt;&lt;keywords&gt;&lt;keyword&gt;Advertising as Topic/methods&lt;/keyword&gt;&lt;keyword&gt;Commerce/economics/trends&lt;/keyword&gt;&lt;keyword&gt;Commonwealth of Independent States&lt;/keyword&gt;&lt;keyword&gt;Economic Competition/economics/trends&lt;/keyword&gt;&lt;keyword&gt;Humans&lt;/keyword&gt;&lt;keyword&gt;Marketing/economics/*organization &amp;amp; administration/trends&lt;/keyword&gt;&lt;keyword&gt;Private Sector&lt;/keyword&gt;&lt;keyword&gt;Smoking/economics/*trends&lt;/keyword&gt;&lt;keyword&gt;Tobacco Industry/*economics&lt;/keyword&gt;&lt;/keywords&gt;&lt;dates&gt;&lt;year&gt;2004&lt;/year&gt;&lt;pub-dates&gt;&lt;date&gt;Jun&lt;/date&gt;&lt;/pub-dates&gt;&lt;/dates&gt;&lt;isbn&gt;1468-3318 (Electronic)&amp;#xD;0964-4563 (Linking)&lt;/isbn&gt;&lt;accession-num&gt;15175532&lt;/accession-num&gt;&lt;urls&gt;&lt;related-urls&gt;&lt;url&gt;http://www.ncbi.nlm.nih.gov/entrez/query.fcgi?cmd=Retrieve&amp;amp;db=PubMed&amp;amp;dopt=Citation&amp;amp;list_uids=15175532&lt;/url&gt;&lt;/related-urls&gt;&lt;/urls&gt;&lt;custom2&gt;1747844&lt;/custom2&gt;&lt;language&gt;eng&lt;/language&gt;&lt;/record&gt;&lt;/Cite&gt;&lt;/EndNote&gt;</w:instrText>
      </w:r>
      <w:r w:rsidR="001D3206">
        <w:rPr>
          <w:lang w:val="en-GB"/>
        </w:rPr>
        <w:fldChar w:fldCharType="separate"/>
      </w:r>
      <w:r w:rsidR="00E968A4" w:rsidRPr="00E968A4">
        <w:rPr>
          <w:noProof/>
          <w:vertAlign w:val="superscript"/>
          <w:lang w:val="en-GB"/>
        </w:rPr>
        <w:t>52</w:t>
      </w:r>
      <w:r w:rsidR="001D3206">
        <w:rPr>
          <w:lang w:val="en-GB"/>
        </w:rPr>
        <w:fldChar w:fldCharType="end"/>
      </w:r>
      <w:r w:rsidRPr="00493A70">
        <w:rPr>
          <w:lang w:val="en-GB"/>
        </w:rPr>
        <w:t xml:space="preserve"> especially to women who were traditionally less likely to smoke in this region. As expected, smoking rates among young women have risen considerably.</w:t>
      </w:r>
      <w:r w:rsidR="001D3206">
        <w:rPr>
          <w:lang w:val="en-GB"/>
        </w:rPr>
        <w:fldChar w:fldCharType="begin"/>
      </w:r>
      <w:r w:rsidR="009679B5">
        <w:rPr>
          <w:lang w:val="en-GB"/>
        </w:rPr>
        <w:instrText xml:space="preserve"> ADDIN EN.CITE &lt;EndNote&gt;&lt;Cite&gt;&lt;Author&gt;Perlman&lt;/Author&gt;&lt;Year&gt;2007&lt;/Year&gt;&lt;RecNum&gt;27&lt;/RecNum&gt;&lt;DisplayText&gt;[47]&lt;/DisplayText&gt;&lt;record&gt;&lt;rec-number&gt;27&lt;/rec-number&gt;&lt;foreign-keys&gt;&lt;key app="EN" db-id="x0x5v9tejav5faewxt4xwrd5aav2xredt5zf"&gt;27&lt;/key&gt;&lt;/foreign-keys&gt;&lt;ref-type name="Journal Article"&gt;17&lt;/ref-type&gt;&lt;contributors&gt;&lt;authors&gt;&lt;author&gt;Perlman, F.&lt;/author&gt;&lt;author&gt;Bobak, M.&lt;/author&gt;&lt;author&gt;Gilmore, A.&lt;/author&gt;&lt;author&gt;McKee, M.&lt;/author&gt;&lt;/authors&gt;&lt;/contributors&gt;&lt;auth-address&gt;ECOHOST, London School of Hygiene and Tropical Medicine, Keppel Street, London WC1E 7HT, UK. francesca.perlman@lshtm.ac.uk&lt;/auth-address&gt;&lt;titles&gt;&lt;title&gt;Trends in the prevalence of smoking in Russia during the transition to a market economy&lt;/title&gt;&lt;secondary-title&gt;Tob Control&lt;/secondary-title&gt;&lt;/titles&gt;&lt;pages&gt;299-305&lt;/pages&gt;&lt;volume&gt;16&lt;/volume&gt;&lt;number&gt;5&lt;/number&gt;&lt;edition&gt;2007/09/28&lt;/edition&gt;&lt;keywords&gt;&lt;keyword&gt;Adolescent&lt;/keyword&gt;&lt;keyword&gt;Adult&lt;/keyword&gt;&lt;keyword&gt;Age Factors&lt;/keyword&gt;&lt;keyword&gt;Aged&lt;/keyword&gt;&lt;keyword&gt;Capitalism&lt;/keyword&gt;&lt;keyword&gt;Educational Status&lt;/keyword&gt;&lt;keyword&gt;Female&lt;/keyword&gt;&lt;keyword&gt;Humans&lt;/keyword&gt;&lt;keyword&gt;Male&lt;/keyword&gt;&lt;keyword&gt;Middle Aged&lt;/keyword&gt;&lt;keyword&gt;Prevalence&lt;/keyword&gt;&lt;keyword&gt;Privatization&lt;/keyword&gt;&lt;keyword&gt;Residence Characteristics&lt;/keyword&gt;&lt;keyword&gt;Rural Health/statistics &amp;amp; numerical data&lt;/keyword&gt;&lt;keyword&gt;Russia/epidemiology&lt;/keyword&gt;&lt;keyword&gt;Sex Factors&lt;/keyword&gt;&lt;keyword&gt;Smoking/epidemiology/*trends&lt;/keyword&gt;&lt;keyword&gt;*Social Change&lt;/keyword&gt;&lt;keyword&gt;Urban Health/statistics &amp;amp; numerical data&lt;/keyword&gt;&lt;/keywords&gt;&lt;dates&gt;&lt;year&gt;2007&lt;/year&gt;&lt;pub-dates&gt;&lt;date&gt;Oct&lt;/date&gt;&lt;/pub-dates&gt;&lt;/dates&gt;&lt;isbn&gt;1468-3318 (Electronic)&amp;#xD;0964-4563 (Linking)&lt;/isbn&gt;&lt;accession-num&gt;17897987&lt;/accession-num&gt;&lt;urls&gt;&lt;related-urls&gt;&lt;url&gt;http://www.ncbi.nlm.nih.gov/entrez/query.fcgi?cmd=Retrieve&amp;amp;db=PubMed&amp;amp;dopt=Citation&amp;amp;list_uids=17897987&lt;/url&gt;&lt;/related-urls&gt;&lt;/urls&gt;&lt;custom2&gt;2598552&lt;/custom2&gt;&lt;electronic-resource-num&gt;16/5/299 [pii]&amp;#xD;10.1136/tc.2006.019455&lt;/electronic-resource-num&gt;&lt;language&gt;eng&lt;/language&gt;&lt;/record&gt;&lt;/Cite&gt;&lt;/EndNote&gt;</w:instrText>
      </w:r>
      <w:r w:rsidR="001D3206">
        <w:rPr>
          <w:lang w:val="en-GB"/>
        </w:rPr>
        <w:fldChar w:fldCharType="separate"/>
      </w:r>
      <w:r w:rsidR="00E968A4" w:rsidRPr="00E968A4">
        <w:rPr>
          <w:noProof/>
          <w:vertAlign w:val="superscript"/>
          <w:lang w:val="en-GB"/>
        </w:rPr>
        <w:t>53</w:t>
      </w:r>
      <w:r w:rsidR="001D3206">
        <w:rPr>
          <w:lang w:val="en-GB"/>
        </w:rPr>
        <w:fldChar w:fldCharType="end"/>
      </w:r>
      <w:r w:rsidRPr="00493A70">
        <w:rPr>
          <w:lang w:val="en-GB"/>
        </w:rPr>
        <w:t xml:space="preserve"> Alcohol control is even weaker, despite the role played by heavy drinking, especially in the former Soviet Union. This often involves cheap and easily available surrogate alcohols, ostensibly sold as aftershaves and medicinal tinctures and therefore untaxed, but containing 70-90% ethanol.</w:t>
      </w:r>
      <w:r w:rsidR="001D3206">
        <w:rPr>
          <w:lang w:val="en-GB"/>
        </w:rPr>
        <w:fldChar w:fldCharType="begin"/>
      </w:r>
      <w:r w:rsidR="009679B5">
        <w:rPr>
          <w:lang w:val="en-GB"/>
        </w:rPr>
        <w:instrText xml:space="preserve"> ADDIN EN.CITE &lt;EndNote&gt;&lt;Cite&gt;&lt;Author&gt;Gil&lt;/Author&gt;&lt;Year&gt;2009&lt;/Year&gt;&lt;RecNum&gt;28&lt;/RecNum&gt;&lt;DisplayText&gt;[48]&lt;/DisplayText&gt;&lt;record&gt;&lt;rec-number&gt;28&lt;/rec-number&gt;&lt;foreign-keys&gt;&lt;key app="EN" db-id="x0x5v9tejav5faewxt4xwrd5aav2xredt5zf"&gt;28&lt;/key&gt;&lt;/foreign-keys&gt;&lt;ref-type name="Journal Article"&gt;17&lt;/ref-type&gt;&lt;contributors&gt;&lt;authors&gt;&lt;author&gt;Gil, A.&lt;/author&gt;&lt;author&gt;Polikina, O.&lt;/author&gt;&lt;author&gt;Koroleva, N.&lt;/author&gt;&lt;author&gt;McKee, M.&lt;/author&gt;&lt;author&gt;Tomkins, S.&lt;/author&gt;&lt;author&gt;Leon, D. A.&lt;/author&gt;&lt;/authors&gt;&lt;/contributors&gt;&lt;auth-address&gt;London School of Hygiene &amp;amp; Tropical Medicine, London, UK.&lt;/auth-address&gt;&lt;titles&gt;&lt;title&gt;Availability and characteristics of nonbeverage alcohols sold in 17 Russian cities in 2007&lt;/title&gt;&lt;secondary-title&gt;Alcohol Clin Exp Res&lt;/secondary-title&gt;&lt;/titles&gt;&lt;pages&gt;79-85&lt;/pages&gt;&lt;volume&gt;33&lt;/volume&gt;&lt;number&gt;1&lt;/number&gt;&lt;edition&gt;2008/11/21&lt;/edition&gt;&lt;keywords&gt;&lt;keyword&gt;Adult&lt;/keyword&gt;&lt;keyword&gt;Alcohol Drinking/*economics/epidemiology/legislation &amp;amp; jurisprudence&lt;/keyword&gt;&lt;keyword&gt;Alcoholic Beverages/*economics&lt;/keyword&gt;&lt;keyword&gt;Case-Control Studies&lt;/keyword&gt;&lt;keyword&gt;Cities/economics/epidemiology&lt;/keyword&gt;&lt;keyword&gt;Ethanol/administration &amp;amp; dosage/*economics&lt;/keyword&gt;&lt;keyword&gt;Humans&lt;/keyword&gt;&lt;keyword&gt;Male&lt;/keyword&gt;&lt;keyword&gt;Middle Aged&lt;/keyword&gt;&lt;keyword&gt;Russia/epidemiology&lt;/keyword&gt;&lt;keyword&gt;*Urban Health/trends&lt;/keyword&gt;&lt;/keywords&gt;&lt;dates&gt;&lt;year&gt;2009&lt;/year&gt;&lt;pub-dates&gt;&lt;date&gt;Jan&lt;/date&gt;&lt;/pub-dates&gt;&lt;/dates&gt;&lt;isbn&gt;1530-0277 (Electronic)&amp;#xD;0145-6008 (Linking)&lt;/isbn&gt;&lt;accession-num&gt;19018753&lt;/accession-num&gt;&lt;urls&gt;&lt;related-urls&gt;&lt;url&gt;http://www.ncbi.nlm.nih.gov/entrez/query.fcgi?cmd=Retrieve&amp;amp;db=PubMed&amp;amp;dopt=Citation&amp;amp;list_uids=19018753&lt;/url&gt;&lt;/related-urls&gt;&lt;/urls&gt;&lt;electronic-resource-num&gt;ACER813 [pii]&amp;#xD;10.1111/j.1530-0277.2008.00813.x&lt;/electronic-resource-num&gt;&lt;language&gt;eng&lt;/language&gt;&lt;/record&gt;&lt;/Cite&gt;&lt;/EndNote&gt;</w:instrText>
      </w:r>
      <w:r w:rsidR="001D3206">
        <w:rPr>
          <w:lang w:val="en-GB"/>
        </w:rPr>
        <w:fldChar w:fldCharType="separate"/>
      </w:r>
      <w:r w:rsidR="00E968A4" w:rsidRPr="00E968A4">
        <w:rPr>
          <w:noProof/>
          <w:vertAlign w:val="superscript"/>
          <w:lang w:val="en-GB"/>
        </w:rPr>
        <w:t>54</w:t>
      </w:r>
      <w:r w:rsidR="001D3206">
        <w:rPr>
          <w:lang w:val="en-GB"/>
        </w:rPr>
        <w:fldChar w:fldCharType="end"/>
      </w:r>
      <w:r w:rsidRPr="00493A70">
        <w:rPr>
          <w:lang w:val="en-GB"/>
        </w:rPr>
        <w:t xml:space="preserve"> There is now considerable evidence implicating them in sudden cardiac death, thought to be a result of the direct toxic effect of ethanol on the myocardium.</w:t>
      </w:r>
      <w:r w:rsidR="001D3206">
        <w:rPr>
          <w:lang w:val="en-GB"/>
        </w:rPr>
        <w:fldChar w:fldCharType="begin"/>
      </w:r>
      <w:r w:rsidR="00E968A4">
        <w:rPr>
          <w:lang w:val="en-GB"/>
        </w:rPr>
        <w:instrText xml:space="preserve"> ADDIN EN.CITE &lt;EndNote&gt;&lt;Cite&gt;&lt;Author&gt;Leon&lt;/Author&gt;&lt;Year&gt;2010&lt;/Year&gt;&lt;RecNum&gt;49&lt;/RecNum&gt;&lt;record&gt;&lt;rec-number&gt;49&lt;/rec-number&gt;&lt;foreign-keys&gt;&lt;key app="EN" db-id="tss0rdex3zvparert03vs0prx5pspz50ftd5"&gt;49&lt;/key&gt;&lt;/foreign-keys&gt;&lt;ref-type name="Journal Article"&gt;17&lt;/ref-type&gt;&lt;contributors&gt;&lt;authors&gt;&lt;author&gt;Leon, D. A.&lt;/author&gt;&lt;author&gt;Shkolnikov, V. M.&lt;/author&gt;&lt;author&gt;McKee, M.&lt;/author&gt;&lt;author&gt;Kiryanov, N.&lt;/author&gt;&lt;author&gt;Andreev, E.&lt;/author&gt;&lt;/authors&gt;&lt;/contributors&gt;&lt;auth-address&gt;London School of Hygiene and Tropical Medicine, London, UK. david.leon@lshtm.ac.uk&lt;/auth-address&gt;&lt;titles&gt;&lt;title&gt;Alcohol increases circulatory disease mortality in Russia: acute and chronic effects or misattribution of cause?&lt;/title&gt;&lt;secondary-title&gt;Int J Epidemiol&lt;/secondary-title&gt;&lt;/titles&gt;&lt;periodical&gt;&lt;full-title&gt;Int J Epidemiol&lt;/full-title&gt;&lt;abbr-1&gt;International journal of epidemiology&lt;/abbr-1&gt;&lt;/periodical&gt;&lt;pages&gt;1279-90&lt;/pages&gt;&lt;volume&gt;39&lt;/volume&gt;&lt;number&gt;5&lt;/number&gt;&lt;edition&gt;2010/07/02&lt;/edition&gt;&lt;keywords&gt;&lt;keyword&gt;Acute Disease&lt;/keyword&gt;&lt;keyword&gt;Adult&lt;/keyword&gt;&lt;keyword&gt;Alcoholism/complications/*mortality&lt;/keyword&gt;&lt;keyword&gt;Cardiomyopathy, Alcoholic/mortality&lt;/keyword&gt;&lt;keyword&gt;Cardiovascular Diseases/etiology/*mortality&lt;/keyword&gt;&lt;keyword&gt;Case-Control Studies&lt;/keyword&gt;&lt;keyword&gt;Causality&lt;/keyword&gt;&lt;keyword&gt;Chronic Disease&lt;/keyword&gt;&lt;keyword&gt;Humans&lt;/keyword&gt;&lt;keyword&gt;Male&lt;/keyword&gt;&lt;keyword&gt;Middle Aged&lt;/keyword&gt;&lt;keyword&gt;Risk Factors&lt;/keyword&gt;&lt;keyword&gt;Russia/epidemiology&lt;/keyword&gt;&lt;/keywords&gt;&lt;dates&gt;&lt;year&gt;2010&lt;/year&gt;&lt;pub-dates&gt;&lt;date&gt;Oct&lt;/date&gt;&lt;/pub-dates&gt;&lt;/dates&gt;&lt;isbn&gt;1464-3685 (Electronic)&amp;#xD;0300-5771 (Linking)&lt;/isbn&gt;&lt;accession-num&gt;20591986&lt;/accession-num&gt;&lt;urls&gt;&lt;related-urls&gt;&lt;url&gt;http://www.ncbi.nlm.nih.gov/entrez/query.fcgi?cmd=Retrieve&amp;amp;db=PubMed&amp;amp;dopt=Citation&amp;amp;list_uids=20591986&lt;/url&gt;&lt;/related-urls&gt;&lt;/urls&gt;&lt;custom2&gt;2972439&lt;/custom2&gt;&lt;electronic-resource-num&gt;dyq102 [pii]&amp;#xD;10.1093/ije/dyq102&lt;/electronic-resource-num&gt;&lt;language&gt;eng&lt;/language&gt;&lt;/record&gt;&lt;/Cite&gt;&lt;/EndNote&gt;</w:instrText>
      </w:r>
      <w:r w:rsidR="001D3206">
        <w:rPr>
          <w:lang w:val="en-GB"/>
        </w:rPr>
        <w:fldChar w:fldCharType="separate"/>
      </w:r>
      <w:r w:rsidR="00E968A4" w:rsidRPr="00E968A4">
        <w:rPr>
          <w:noProof/>
          <w:vertAlign w:val="superscript"/>
          <w:lang w:val="en-GB"/>
        </w:rPr>
        <w:t>55</w:t>
      </w:r>
      <w:r w:rsidR="001D3206">
        <w:rPr>
          <w:lang w:val="en-GB"/>
        </w:rPr>
        <w:fldChar w:fldCharType="end"/>
      </w:r>
      <w:r w:rsidRPr="00493A70">
        <w:rPr>
          <w:lang w:val="en-GB"/>
        </w:rPr>
        <w:t xml:space="preserve"> However, some progress is apparent in Russia, where a 2006 law introduced some controls on production and sale of these surrogates.</w:t>
      </w:r>
      <w:r w:rsidR="001D3206">
        <w:rPr>
          <w:lang w:val="en-GB"/>
        </w:rPr>
        <w:fldChar w:fldCharType="begin"/>
      </w:r>
      <w:r w:rsidR="009679B5">
        <w:rPr>
          <w:lang w:val="en-GB"/>
        </w:rPr>
        <w:instrText xml:space="preserve"> ADDIN EN.CITE &lt;EndNote&gt;&lt;Cite&gt;&lt;Author&gt;Levintova&lt;/Author&gt;&lt;Year&gt;2007&lt;/Year&gt;&lt;RecNum&gt;77&lt;/RecNum&gt;&lt;DisplayText&gt;[50]&lt;/DisplayText&gt;&lt;record&gt;&lt;rec-number&gt;77&lt;/rec-number&gt;&lt;foreign-keys&gt;&lt;key app="EN" db-id="x0x5v9tejav5faewxt4xwrd5aav2xredt5zf"&gt;77&lt;/key&gt;&lt;/foreign-keys&gt;&lt;ref-type name="Journal Article"&gt;17&lt;/ref-type&gt;&lt;contributors&gt;&lt;authors&gt;&lt;author&gt;Levintova, M.&lt;/author&gt;&lt;/authors&gt;&lt;/contributors&gt;&lt;auth-address&gt;Fogarty International Center, National Institutes of Health, 31 Center Drive, Bethesda, MD 20892, USA. levintovam@mail.nih.gov&lt;/auth-address&gt;&lt;titles&gt;&lt;title&gt;Russian alcohol policy in the making&lt;/title&gt;&lt;secondary-title&gt;Alcohol Alcohol&lt;/secondary-title&gt;&lt;/titles&gt;&lt;periodical&gt;&lt;full-title&gt;Alcohol Alcohol&lt;/full-title&gt;&lt;/periodical&gt;&lt;pages&gt;500-5&lt;/pages&gt;&lt;volume&gt;42&lt;/volume&gt;&lt;number&gt;5&lt;/number&gt;&lt;edition&gt;2007/06/01&lt;/edition&gt;&lt;keywords&gt;&lt;keyword&gt;Alcohol Drinking/history/*legislation &amp;amp; jurisprudence&lt;/keyword&gt;&lt;keyword&gt;Alcoholic Beverages/economics&lt;/keyword&gt;&lt;keyword&gt;Health Education&lt;/keyword&gt;&lt;keyword&gt;Health Policy/history/legislation &amp;amp; jurisprudence/*trends&lt;/keyword&gt;&lt;keyword&gt;History, 20th Century&lt;/keyword&gt;&lt;keyword&gt;Industry&lt;/keyword&gt;&lt;keyword&gt;Russia&lt;/keyword&gt;&lt;keyword&gt;Taxes&lt;/keyword&gt;&lt;/keywords&gt;&lt;dates&gt;&lt;year&gt;2007&lt;/year&gt;&lt;pub-dates&gt;&lt;date&gt;Sep-Oct&lt;/date&gt;&lt;/pub-dates&gt;&lt;/dates&gt;&lt;isbn&gt;0735-0414 (Print)&amp;#xD;0735-0414 (Linking)&lt;/isbn&gt;&lt;accession-num&gt;17537829&lt;/accession-num&gt;&lt;urls&gt;&lt;related-urls&gt;&lt;url&gt;http://www.ncbi.nlm.nih.gov/entrez/query.fcgi?cmd=Retrieve&amp;amp;db=PubMed&amp;amp;dopt=Citation&amp;amp;list_uids=17537829&lt;/url&gt;&lt;/related-urls&gt;&lt;/urls&gt;&lt;electronic-resource-num&gt;agm040 [pii]&amp;#xD;10.1093/alcalc/agm040&lt;/electronic-resource-num&gt;&lt;language&gt;eng&lt;/language&gt;&lt;/record&gt;&lt;/Cite&gt;&lt;/EndNote&gt;</w:instrText>
      </w:r>
      <w:r w:rsidR="001D3206">
        <w:rPr>
          <w:lang w:val="en-GB"/>
        </w:rPr>
        <w:fldChar w:fldCharType="separate"/>
      </w:r>
      <w:r w:rsidR="00E968A4" w:rsidRPr="00E968A4">
        <w:rPr>
          <w:noProof/>
          <w:vertAlign w:val="superscript"/>
          <w:lang w:val="en-GB"/>
        </w:rPr>
        <w:t>56</w:t>
      </w:r>
      <w:r w:rsidR="001D3206">
        <w:rPr>
          <w:lang w:val="en-GB"/>
        </w:rPr>
        <w:fldChar w:fldCharType="end"/>
      </w:r>
      <w:r w:rsidRPr="00493A70">
        <w:rPr>
          <w:lang w:val="en-GB"/>
        </w:rPr>
        <w:t xml:space="preserve"> </w:t>
      </w:r>
    </w:p>
    <w:p w:rsidR="00436563" w:rsidRPr="00493A70" w:rsidRDefault="00436563">
      <w:pPr>
        <w:pStyle w:val="Kop3"/>
      </w:pPr>
      <w:r w:rsidRPr="00493A70">
        <w:t>Infectious disease control</w:t>
      </w:r>
    </w:p>
    <w:p w:rsidR="00436563" w:rsidRPr="00493A70" w:rsidRDefault="00436563" w:rsidP="003C7488">
      <w:pPr>
        <w:pStyle w:val="Plattetekst"/>
        <w:rPr>
          <w:lang w:val="en-GB"/>
        </w:rPr>
      </w:pPr>
      <w:r w:rsidRPr="00493A70">
        <w:rPr>
          <w:lang w:val="en-GB"/>
        </w:rPr>
        <w:t xml:space="preserve">After the system change that occurred around 1990 new, more effective, health policies were implemented only slowly, and some existing health policies actually broke down. One of the few areas where the Soviet health system achieved some success was in the control of infectious disease. Unfortunately, the systems that many of the newly independent states inherited in 1991 rapidly collapsed, with the re-emergence of diseases such as diphtheria that had once been controlled </w:t>
      </w:r>
      <w:r w:rsidR="001D3206">
        <w:rPr>
          <w:lang w:val="en-GB"/>
        </w:rPr>
        <w:fldChar w:fldCharType="begin"/>
      </w:r>
      <w:r w:rsidR="009679B5">
        <w:rPr>
          <w:lang w:val="en-GB"/>
        </w:rPr>
        <w:instrText xml:space="preserve"> ADDIN EN.CITE &lt;EndNote&gt;&lt;Cite&gt;&lt;Author&gt;Vitek&lt;/Author&gt;&lt;Year&gt;1998&lt;/Year&gt;&lt;RecNum&gt;71&lt;/RecNum&gt;&lt;DisplayText&gt;[51]&lt;/DisplayText&gt;&lt;record&gt;&lt;rec-number&gt;71&lt;/rec-number&gt;&lt;foreign-keys&gt;&lt;key app="EN" db-id="x0x5v9tejav5faewxt4xwrd5aav2xredt5zf"&gt;71&lt;/key&gt;&lt;/foreign-keys&gt;&lt;ref-type name="Journal Article"&gt;17&lt;/ref-type&gt;&lt;contributors&gt;&lt;authors&gt;&lt;author&gt;Vitek, C. R.&lt;/author&gt;&lt;author&gt;Wharton, M.&lt;/author&gt;&lt;/authors&gt;&lt;/contributors&gt;&lt;auth-address&gt;Centers for Disease Control and Prevention, Atlanta, Georgia 30333, USA. cxv3@cdc.gov&lt;/auth-address&gt;&lt;titles&gt;&lt;title&gt;Diphtheria in the former Soviet Union: reemergence of a pandemic disease&lt;/title&gt;&lt;secondary-title&gt;Emerg Infect Dis&lt;/secondary-title&gt;&lt;/titles&gt;&lt;pages&gt;539-50&lt;/pages&gt;&lt;volume&gt;4&lt;/volume&gt;&lt;number&gt;4&lt;/number&gt;&lt;edition&gt;1998/12/29&lt;/edition&gt;&lt;keywords&gt;&lt;keyword&gt;Adult&lt;/keyword&gt;&lt;keyword&gt;Diphtheria/*epidemiology/prevention &amp;amp; control&lt;/keyword&gt;&lt;keyword&gt;Humans&lt;/keyword&gt;&lt;keyword&gt;USSR/epidemiology&lt;/keyword&gt;&lt;/keywords&gt;&lt;dates&gt;&lt;year&gt;1998&lt;/year&gt;&lt;pub-dates&gt;&lt;date&gt;Oct-Dec&lt;/date&gt;&lt;/pub-dates&gt;&lt;/dates&gt;&lt;isbn&gt;1080-6040 (Print)&amp;#xD;1080-6040 (Linking)&lt;/isbn&gt;&lt;accession-num&gt;9866730&lt;/accession-num&gt;&lt;urls&gt;&lt;related-urls&gt;&lt;url&gt;http://www.ncbi.nlm.nih.gov/entrez/query.fcgi?cmd=Retrieve&amp;amp;db=PubMed&amp;amp;dopt=Citation&amp;amp;list_uids=9866730&lt;/url&gt;&lt;/related-urls&gt;&lt;/urls&gt;&lt;custom2&gt;2640235&lt;/custom2&gt;&lt;language&gt;eng&lt;/language&gt;&lt;/record&gt;&lt;/Cite&gt;&lt;/EndNote&gt;</w:instrText>
      </w:r>
      <w:r w:rsidR="001D3206">
        <w:rPr>
          <w:lang w:val="en-GB"/>
        </w:rPr>
        <w:fldChar w:fldCharType="separate"/>
      </w:r>
      <w:r w:rsidR="00E968A4" w:rsidRPr="00E968A4">
        <w:rPr>
          <w:noProof/>
          <w:vertAlign w:val="superscript"/>
          <w:lang w:val="en-GB"/>
        </w:rPr>
        <w:t>57</w:t>
      </w:r>
      <w:r w:rsidR="001D3206">
        <w:rPr>
          <w:lang w:val="en-GB"/>
        </w:rPr>
        <w:fldChar w:fldCharType="end"/>
      </w:r>
      <w:r w:rsidRPr="00493A70">
        <w:rPr>
          <w:lang w:val="en-GB"/>
        </w:rPr>
        <w:t xml:space="preserve"> and the emergence of new problems, most notably multi-drug resistant tuberculosis (MDR-TB) and HIV/AIDS.</w:t>
      </w:r>
      <w:r w:rsidR="001D3206">
        <w:rPr>
          <w:lang w:val="en-GB"/>
        </w:rPr>
        <w:fldChar w:fldCharType="begin"/>
      </w:r>
      <w:r w:rsidR="009679B5">
        <w:rPr>
          <w:lang w:val="en-GB"/>
        </w:rPr>
        <w:instrText xml:space="preserve"> ADDIN EN.CITE &lt;EndNote&gt;&lt;Cite&gt;&lt;Author&gt;Atun&lt;/Author&gt;&lt;Year&gt;2007&lt;/Year&gt;&lt;RecNum&gt;73&lt;/RecNum&gt;&lt;DisplayText&gt;[52]&lt;/DisplayText&gt;&lt;record&gt;&lt;rec-number&gt;73&lt;/rec-number&gt;&lt;foreign-keys&gt;&lt;key app="EN" db-id="x0x5v9tejav5faewxt4xwrd5aav2xredt5zf"&gt;73&lt;/key&gt;&lt;/foreign-keys&gt;&lt;ref-type name="Journal Article"&gt;17&lt;/ref-type&gt;&lt;contributors&gt;&lt;authors&gt;&lt;author&gt;Atun, R. A.&lt;/author&gt;&lt;author&gt;Lebcir, R. M.&lt;/author&gt;&lt;author&gt;McKee, M.&lt;/author&gt;&lt;author&gt;Habicht, J.&lt;/author&gt;&lt;author&gt;Coker, R. J.&lt;/author&gt;&lt;/authors&gt;&lt;/contributors&gt;&lt;auth-address&gt;Centre for Health Management, Tanaka Business School, Imperial College London, South Kensington Campus, London SW7 2AZ, UK. r.atun@imperial.ac.uk&lt;/auth-address&gt;&lt;titles&gt;&lt;title&gt;Impact of joined-up HIV harm reduction and multidrug resistant tuberculosis control programmes in Estonia: System dynamics simulation model&lt;/title&gt;&lt;secondary-title&gt;Health Policy&lt;/secondary-title&gt;&lt;/titles&gt;&lt;pages&gt;207-17&lt;/pages&gt;&lt;volume&gt;81&lt;/volume&gt;&lt;number&gt;2-3&lt;/number&gt;&lt;edition&gt;2006/07/21&lt;/edition&gt;&lt;keywords&gt;&lt;keyword&gt;Antitubercular Agents&lt;/keyword&gt;&lt;keyword&gt;Communicable Disease Control/methods&lt;/keyword&gt;&lt;keyword&gt;*Drug Resistance, Multiple&lt;/keyword&gt;&lt;keyword&gt;Estonia/epidemiology&lt;/keyword&gt;&lt;keyword&gt;*HIV Infections/mortality&lt;/keyword&gt;&lt;keyword&gt;*Harm Reduction&lt;/keyword&gt;&lt;keyword&gt;Health Policy&lt;/keyword&gt;&lt;keyword&gt;Humans&lt;/keyword&gt;&lt;keyword&gt;Models, Theoretical&lt;/keyword&gt;&lt;keyword&gt;Tuberculosis/*drug therapy/mortality/prevention &amp;amp; control&lt;/keyword&gt;&lt;/keywords&gt;&lt;dates&gt;&lt;year&gt;2007&lt;/year&gt;&lt;pub-dates&gt;&lt;date&gt;May&lt;/date&gt;&lt;/pub-dates&gt;&lt;/dates&gt;&lt;isbn&gt;0168-8510 (Print)&amp;#xD;0168-8510 (Linking)&lt;/isbn&gt;&lt;accession-num&gt;16854499&lt;/accession-num&gt;&lt;urls&gt;&lt;related-urls&gt;&lt;url&gt;http://www.ncbi.nlm.nih.gov/entrez/query.fcgi?cmd=Retrieve&amp;amp;db=PubMed&amp;amp;dopt=Citation&amp;amp;list_uids=16854499&lt;/url&gt;&lt;/related-urls&gt;&lt;/urls&gt;&lt;electronic-resource-num&gt;S0168-8510(06)00131-X [pii]&amp;#xD;10.1016/j.healthpol.2006.05.021&lt;/electronic-resource-num&gt;&lt;language&gt;eng&lt;/language&gt;&lt;/record&gt;&lt;/Cite&gt;&lt;/EndNote&gt;</w:instrText>
      </w:r>
      <w:r w:rsidR="001D3206">
        <w:rPr>
          <w:lang w:val="en-GB"/>
        </w:rPr>
        <w:fldChar w:fldCharType="separate"/>
      </w:r>
      <w:r w:rsidR="00E968A4" w:rsidRPr="00E968A4">
        <w:rPr>
          <w:noProof/>
          <w:vertAlign w:val="superscript"/>
          <w:lang w:val="en-GB"/>
        </w:rPr>
        <w:t>58</w:t>
      </w:r>
      <w:r w:rsidR="001D3206">
        <w:rPr>
          <w:lang w:val="en-GB"/>
        </w:rPr>
        <w:fldChar w:fldCharType="end"/>
      </w:r>
      <w:r w:rsidRPr="00493A70">
        <w:rPr>
          <w:lang w:val="en-GB"/>
        </w:rPr>
        <w:t xml:space="preserve"> Indeed,</w:t>
      </w:r>
      <w:r w:rsidRPr="00493A70">
        <w:t xml:space="preserve"> c</w:t>
      </w:r>
      <w:r w:rsidRPr="00493A70">
        <w:rPr>
          <w:lang w:val="en-GB"/>
        </w:rPr>
        <w:t xml:space="preserve">entral and eastern Europe and the former Soviet Union currently include 15 of the 27 countries identified as having a high burden of MDR-TB. </w:t>
      </w:r>
    </w:p>
    <w:p w:rsidR="00436563" w:rsidRPr="00493A70" w:rsidRDefault="00436563" w:rsidP="003C7488">
      <w:pPr>
        <w:pStyle w:val="Plattetekst"/>
        <w:rPr>
          <w:lang w:val="en-GB"/>
        </w:rPr>
      </w:pPr>
      <w:r w:rsidRPr="00493A70">
        <w:rPr>
          <w:lang w:val="en-GB"/>
        </w:rPr>
        <w:lastRenderedPageBreak/>
        <w:t>There are, however, some promising signs and Estonia has been praised for developing a comprehensive strategy to tackle MDR-TB that is beginning to bear fruit, involving bans on sales of anti-TB drugs in pharmacies, enhanced training of health professionals, and greater efforts to tackle TB among heavy drinkers.</w:t>
      </w:r>
      <w:r w:rsidR="001D3206">
        <w:rPr>
          <w:lang w:val="en-GB"/>
        </w:rPr>
        <w:fldChar w:fldCharType="begin"/>
      </w:r>
      <w:r w:rsidR="009679B5">
        <w:rPr>
          <w:lang w:val="en-GB"/>
        </w:rPr>
        <w:instrText xml:space="preserve"> ADDIN EN.CITE &lt;EndNote&gt;&lt;Cite&gt;&lt;Author&gt;Floyd&lt;/Author&gt;&lt;Year&gt;2012&lt;/Year&gt;&lt;RecNum&gt;129&lt;/RecNum&gt;&lt;DisplayText&gt;[53]&lt;/DisplayText&gt;&lt;record&gt;&lt;rec-number&gt;129&lt;/rec-number&gt;&lt;foreign-keys&gt;&lt;key app="EN" db-id="x0x5v9tejav5faewxt4xwrd5aav2xredt5zf"&gt;129&lt;/key&gt;&lt;/foreign-keys&gt;&lt;ref-type name="Journal Article"&gt;17&lt;/ref-type&gt;&lt;contributors&gt;&lt;authors&gt;&lt;author&gt;Floyd, K.&lt;/author&gt;&lt;author&gt;Hutubessy, R.&lt;/author&gt;&lt;author&gt;Kliiman, K.&lt;/author&gt;&lt;author&gt;Centis, R.&lt;/author&gt;&lt;author&gt;Khurieva, N.&lt;/author&gt;&lt;author&gt;Jakobowiak, W.&lt;/author&gt;&lt;author&gt;Danilovits, M.&lt;/author&gt;&lt;author&gt;Peremitin, G.&lt;/author&gt;&lt;author&gt;Keshavjee, S.&lt;/author&gt;&lt;author&gt;Migliori, G. B.&lt;/author&gt;&lt;/authors&gt;&lt;/contributors&gt;&lt;auth-address&gt;Stop TB Dept, World Health Organization, 20 Avenue Appia, 1211 Geneva, Switzerland. E-mail: floydk@who.int.&lt;/auth-address&gt;&lt;titles&gt;&lt;title&gt;Cost and cost-effectiveness of multidrug-resistant tuberculosis treatment in Estonia and Russia&lt;/title&gt;&lt;secondary-title&gt;Eur Respir J&lt;/secondary-title&gt;&lt;/titles&gt;&lt;periodical&gt;&lt;full-title&gt;Eur Respir J&lt;/full-title&gt;&lt;/periodical&gt;&lt;pages&gt;133-42&lt;/pages&gt;&lt;volume&gt;40&lt;/volume&gt;&lt;number&gt;1&lt;/number&gt;&lt;edition&gt;2012/03/01&lt;/edition&gt;&lt;dates&gt;&lt;year&gt;2012&lt;/year&gt;&lt;pub-dates&gt;&lt;date&gt;Jul&lt;/date&gt;&lt;/pub-dates&gt;&lt;/dates&gt;&lt;isbn&gt;1399-3003 (Electronic)&amp;#xD;0903-1936 (Linking)&lt;/isbn&gt;&lt;accession-num&gt;22362862&lt;/accession-num&gt;&lt;urls&gt;&lt;related-urls&gt;&lt;url&gt;http://www.ncbi.nlm.nih.gov/pubmed/22362862&lt;/url&gt;&lt;/related-urls&gt;&lt;/urls&gt;&lt;electronic-resource-num&gt;09031936.00169411 [pii]&amp;#xD;10.1183/09031936.00169411&lt;/electronic-resource-num&gt;&lt;language&gt;eng&lt;/language&gt;&lt;/record&gt;&lt;/Cite&gt;&lt;/EndNote&gt;</w:instrText>
      </w:r>
      <w:r w:rsidR="001D3206">
        <w:rPr>
          <w:lang w:val="en-GB"/>
        </w:rPr>
        <w:fldChar w:fldCharType="separate"/>
      </w:r>
      <w:r w:rsidR="00E968A4" w:rsidRPr="00E968A4">
        <w:rPr>
          <w:noProof/>
          <w:vertAlign w:val="superscript"/>
          <w:lang w:val="en-GB"/>
        </w:rPr>
        <w:t>59</w:t>
      </w:r>
      <w:r w:rsidR="001D3206">
        <w:rPr>
          <w:lang w:val="en-GB"/>
        </w:rPr>
        <w:fldChar w:fldCharType="end"/>
      </w:r>
    </w:p>
    <w:p w:rsidR="00436563" w:rsidRPr="00493A70" w:rsidRDefault="00436563">
      <w:pPr>
        <w:pStyle w:val="Kop3"/>
      </w:pPr>
      <w:r w:rsidRPr="00493A70">
        <w:t>Home and road safety</w:t>
      </w:r>
    </w:p>
    <w:p w:rsidR="00436563" w:rsidRPr="00493A70" w:rsidRDefault="00436563" w:rsidP="003C7488">
      <w:pPr>
        <w:pStyle w:val="Plattetekst"/>
        <w:rPr>
          <w:lang w:val="en-GB"/>
        </w:rPr>
      </w:pPr>
      <w:r w:rsidRPr="00493A70">
        <w:rPr>
          <w:lang w:val="en-GB"/>
        </w:rPr>
        <w:t>Alcohol is heavily implicated in the high death rates from injuries and violence in this region. However, other factors contribute as well, such as the condition of the road network, although major improvements have been made in central and Eastern Europe as a result of investment by EU structural funds. Another is the failure to enforce road safety laws, exacerbated by pervasive police corruption in some countries.</w:t>
      </w:r>
      <w:r w:rsidR="001D3206">
        <w:rPr>
          <w:lang w:val="en-GB"/>
        </w:rPr>
        <w:fldChar w:fldCharType="begin"/>
      </w:r>
      <w:r w:rsidR="00E968A4">
        <w:rPr>
          <w:lang w:val="en-GB"/>
        </w:rPr>
        <w:instrText xml:space="preserve"> ADDIN EN.CITE &lt;EndNote&gt;&lt;Cite&gt;&lt;Author&gt;McKee&lt;/Author&gt;&lt;Year&gt;2000&lt;/Year&gt;&lt;RecNum&gt;54&lt;/RecNum&gt;&lt;record&gt;&lt;rec-number&gt;54&lt;/rec-number&gt;&lt;foreign-keys&gt;&lt;key app="EN" db-id="tss0rdex3zvparert03vs0prx5pspz50ftd5"&gt;54&lt;/key&gt;&lt;/foreign-keys&gt;&lt;ref-type name="Journal Article"&gt;17&lt;/ref-type&gt;&lt;contributors&gt;&lt;authors&gt;&lt;author&gt;McKee, M.&lt;/author&gt;&lt;author&gt;Zwi, A.&lt;/author&gt;&lt;author&gt;Koupilova, I.&lt;/author&gt;&lt;author&gt;Sethi, D.&lt;/author&gt;&lt;author&gt;Leon, D.&lt;/author&gt;&lt;/authors&gt;&lt;/contributors&gt;&lt;auth-address&gt;European Centre on Health of Societies in Transition, London School of Hygiene and Tropical Medicine, UK. m.mckee@lshtm.ac.uk&lt;/auth-address&gt;&lt;titles&gt;&lt;title&gt;Health policy-making in central and eastern Europe: lessons from the inaction on injuries?&lt;/title&gt;&lt;secondary-title&gt;Health Policy Plan&lt;/secondary-title&gt;&lt;alt-title&gt;Health policy and planning&lt;/alt-title&gt;&lt;/titles&gt;&lt;periodical&gt;&lt;full-title&gt;Health Policy Plan&lt;/full-title&gt;&lt;abbr-1&gt;Health policy and planning&lt;/abbr-1&gt;&lt;/periodical&gt;&lt;alt-periodical&gt;&lt;full-title&gt;Health Policy Plan&lt;/full-title&gt;&lt;abbr-1&gt;Health policy and planning&lt;/abbr-1&gt;&lt;/alt-periodical&gt;&lt;pages&gt;263-9&lt;/pages&gt;&lt;volume&gt;15&lt;/volume&gt;&lt;number&gt;3&lt;/number&gt;&lt;edition&gt;2000/09/30&lt;/edition&gt;&lt;keywords&gt;&lt;keyword&gt;Child&lt;/keyword&gt;&lt;keyword&gt;Child, Preschool&lt;/keyword&gt;&lt;keyword&gt;Community Health Services&lt;/keyword&gt;&lt;keyword&gt;Cost of Illness&lt;/keyword&gt;&lt;keyword&gt;Decision Making, Organizational&lt;/keyword&gt;&lt;keyword&gt;Europe, Eastern/epidemiology&lt;/keyword&gt;&lt;keyword&gt;Female&lt;/keyword&gt;&lt;keyword&gt;Health Policy&lt;/keyword&gt;&lt;keyword&gt;Humans&lt;/keyword&gt;&lt;keyword&gt;Male&lt;/keyword&gt;&lt;keyword&gt;Models, Organizational&lt;/keyword&gt;&lt;keyword&gt;Organizational Objectives&lt;/keyword&gt;&lt;keyword&gt;Policy Making&lt;/keyword&gt;&lt;keyword&gt;Private Sector&lt;/keyword&gt;&lt;keyword&gt;Public Health Administration&lt;/keyword&gt;&lt;keyword&gt;Wounds and Injuries/epidemiology/ prevention &amp;amp; control&lt;/keyword&gt;&lt;/keywords&gt;&lt;dates&gt;&lt;year&gt;2000&lt;/year&gt;&lt;pub-dates&gt;&lt;date&gt;Sep&lt;/date&gt;&lt;/pub-dates&gt;&lt;/dates&gt;&lt;isbn&gt;0268-1080 (Print)&amp;#xD;0268-1080 (Linking)&lt;/isbn&gt;&lt;accession-num&gt;11012400&lt;/accession-num&gt;&lt;urls&gt;&lt;/urls&gt;&lt;remote-database-provider&gt;NLM&lt;/remote-database-provider&gt;&lt;language&gt;eng&lt;/language&gt;&lt;/record&gt;&lt;/Cite&gt;&lt;/EndNote&gt;</w:instrText>
      </w:r>
      <w:r w:rsidR="001D3206">
        <w:rPr>
          <w:lang w:val="en-GB"/>
        </w:rPr>
        <w:fldChar w:fldCharType="separate"/>
      </w:r>
      <w:r w:rsidR="00E968A4" w:rsidRPr="00E968A4">
        <w:rPr>
          <w:noProof/>
          <w:vertAlign w:val="superscript"/>
          <w:lang w:val="en-GB"/>
        </w:rPr>
        <w:t>60</w:t>
      </w:r>
      <w:r w:rsidR="001D3206">
        <w:rPr>
          <w:lang w:val="en-GB"/>
        </w:rPr>
        <w:fldChar w:fldCharType="end"/>
      </w:r>
      <w:r w:rsidRPr="00493A70">
        <w:rPr>
          <w:lang w:val="en-GB"/>
        </w:rPr>
        <w:t xml:space="preserve"> Children in this region are especially vulnerable, often with limited access to safe play areas and exposed to many hazards in the home environment.</w:t>
      </w:r>
      <w:r w:rsidR="001D3206">
        <w:rPr>
          <w:lang w:val="en-GB"/>
        </w:rPr>
        <w:fldChar w:fldCharType="begin"/>
      </w:r>
      <w:r w:rsidR="009679B5">
        <w:rPr>
          <w:lang w:val="en-GB"/>
        </w:rPr>
        <w:instrText xml:space="preserve"> ADDIN EN.CITE &lt;EndNote&gt;&lt;Cite&gt;&lt;Author&gt;Armour-Marshall&lt;/Author&gt;&lt;Year&gt;2012&lt;/Year&gt;&lt;RecNum&gt;29&lt;/RecNum&gt;&lt;DisplayText&gt;[55]&lt;/DisplayText&gt;&lt;record&gt;&lt;rec-number&gt;29&lt;/rec-number&gt;&lt;foreign-keys&gt;&lt;key app="EN" db-id="x0x5v9tejav5faewxt4xwrd5aav2xredt5zf"&gt;29&lt;/key&gt;&lt;/foreign-keys&gt;&lt;ref-type name="Journal Article"&gt;17&lt;/ref-type&gt;&lt;contributors&gt;&lt;authors&gt;&lt;author&gt;Armour-Marshall, J.&lt;/author&gt;&lt;author&gt;Wolfe, I.&lt;/author&gt;&lt;author&gt;Richardson, E.&lt;/author&gt;&lt;author&gt;Karanikolos, M.&lt;/author&gt;&lt;author&gt;McKee, M.&lt;/author&gt;&lt;/authors&gt;&lt;/contributors&gt;&lt;auth-address&gt;Whittington Hospital, Magdala Avenue, London N19 5NF, UK.&lt;/auth-address&gt;&lt;titles&gt;&lt;title&gt;Childhood deaths from injuries: trends and inequalities in Europe&lt;/title&gt;&lt;secondary-title&gt;Eur J Public Health&lt;/secondary-title&gt;&lt;/titles&gt;&lt;pages&gt;61-5&lt;/pages&gt;&lt;volume&gt;22&lt;/volume&gt;&lt;number&gt;1&lt;/number&gt;&lt;edition&gt;2011/02/12&lt;/edition&gt;&lt;dates&gt;&lt;year&gt;2012&lt;/year&gt;&lt;pub-dates&gt;&lt;date&gt;Feb&lt;/date&gt;&lt;/pub-dates&gt;&lt;/dates&gt;&lt;isbn&gt;1464-360X (Electronic)&amp;#xD;1101-1262 (Linking)&lt;/isbn&gt;&lt;accession-num&gt;21310718&lt;/accession-num&gt;&lt;urls&gt;&lt;related-urls&gt;&lt;url&gt;http://www.ncbi.nlm.nih.gov/entrez/query.fcgi?cmd=Retrieve&amp;amp;db=PubMed&amp;amp;dopt=Citation&amp;amp;list_uids=21310718&lt;/url&gt;&lt;/related-urls&gt;&lt;/urls&gt;&lt;electronic-resource-num&gt;ckr004 [pii]&amp;#xD;10.1093/eurpub/ckr004&lt;/electronic-resource-num&gt;&lt;language&gt;eng&lt;/language&gt;&lt;/record&gt;&lt;/Cite&gt;&lt;/EndNote&gt;</w:instrText>
      </w:r>
      <w:r w:rsidR="001D3206">
        <w:rPr>
          <w:lang w:val="en-GB"/>
        </w:rPr>
        <w:fldChar w:fldCharType="separate"/>
      </w:r>
      <w:r w:rsidR="00E968A4" w:rsidRPr="00E968A4">
        <w:rPr>
          <w:noProof/>
          <w:vertAlign w:val="superscript"/>
          <w:lang w:val="en-GB"/>
        </w:rPr>
        <w:t>61</w:t>
      </w:r>
      <w:r w:rsidR="001D3206">
        <w:rPr>
          <w:lang w:val="en-GB"/>
        </w:rPr>
        <w:fldChar w:fldCharType="end"/>
      </w:r>
      <w:r w:rsidRPr="00493A70">
        <w:rPr>
          <w:lang w:val="en-GB"/>
        </w:rPr>
        <w:t xml:space="preserve"> Rates of drowning are very high, reflecting the common practice of swimming in rivers and lakes without adult supervision.</w:t>
      </w:r>
      <w:r w:rsidR="001D3206">
        <w:rPr>
          <w:lang w:val="en-GB"/>
        </w:rPr>
        <w:fldChar w:fldCharType="begin"/>
      </w:r>
      <w:r w:rsidR="009679B5">
        <w:rPr>
          <w:lang w:val="en-GB"/>
        </w:rPr>
        <w:instrText xml:space="preserve"> ADDIN EN.CITE &lt;EndNote&gt;&lt;Cite&gt;&lt;Author&gt;Armour-Marshall&lt;/Author&gt;&lt;Year&gt;2012&lt;/Year&gt;&lt;RecNum&gt;29&lt;/RecNum&gt;&lt;DisplayText&gt;[55]&lt;/DisplayText&gt;&lt;record&gt;&lt;rec-number&gt;29&lt;/rec-number&gt;&lt;foreign-keys&gt;&lt;key app="EN" db-id="x0x5v9tejav5faewxt4xwrd5aav2xredt5zf"&gt;29&lt;/key&gt;&lt;/foreign-keys&gt;&lt;ref-type name="Journal Article"&gt;17&lt;/ref-type&gt;&lt;contributors&gt;&lt;authors&gt;&lt;author&gt;Armour-Marshall, J.&lt;/author&gt;&lt;author&gt;Wolfe, I.&lt;/author&gt;&lt;author&gt;Richardson, E.&lt;/author&gt;&lt;author&gt;Karanikolos, M.&lt;/author&gt;&lt;author&gt;McKee, M.&lt;/author&gt;&lt;/authors&gt;&lt;/contributors&gt;&lt;auth-address&gt;Whittington Hospital, Magdala Avenue, London N19 5NF, UK.&lt;/auth-address&gt;&lt;titles&gt;&lt;title&gt;Childhood deaths from injuries: trends and inequalities in Europe&lt;/title&gt;&lt;secondary-title&gt;Eur J Public Health&lt;/secondary-title&gt;&lt;/titles&gt;&lt;pages&gt;61-5&lt;/pages&gt;&lt;volume&gt;22&lt;/volume&gt;&lt;number&gt;1&lt;/number&gt;&lt;edition&gt;2011/02/12&lt;/edition&gt;&lt;dates&gt;&lt;year&gt;2012&lt;/year&gt;&lt;pub-dates&gt;&lt;date&gt;Feb&lt;/date&gt;&lt;/pub-dates&gt;&lt;/dates&gt;&lt;isbn&gt;1464-360X (Electronic)&amp;#xD;1101-1262 (Linking)&lt;/isbn&gt;&lt;accession-num&gt;21310718&lt;/accession-num&gt;&lt;urls&gt;&lt;related-urls&gt;&lt;url&gt;http://www.ncbi.nlm.nih.gov/entrez/query.fcgi?cmd=Retrieve&amp;amp;db=PubMed&amp;amp;dopt=Citation&amp;amp;list_uids=21310718&lt;/url&gt;&lt;/related-urls&gt;&lt;/urls&gt;&lt;electronic-resource-num&gt;ckr004 [pii]&amp;#xD;10.1093/eurpub/ckr004&lt;/electronic-resource-num&gt;&lt;language&gt;eng&lt;/language&gt;&lt;/record&gt;&lt;/Cite&gt;&lt;/EndNote&gt;</w:instrText>
      </w:r>
      <w:r w:rsidR="001D3206">
        <w:rPr>
          <w:lang w:val="en-GB"/>
        </w:rPr>
        <w:fldChar w:fldCharType="separate"/>
      </w:r>
      <w:r w:rsidR="00E968A4" w:rsidRPr="00E968A4">
        <w:rPr>
          <w:noProof/>
          <w:vertAlign w:val="superscript"/>
          <w:lang w:val="en-GB"/>
        </w:rPr>
        <w:t>61</w:t>
      </w:r>
      <w:r w:rsidR="001D3206">
        <w:rPr>
          <w:lang w:val="en-GB"/>
        </w:rPr>
        <w:fldChar w:fldCharType="end"/>
      </w:r>
      <w:r w:rsidRPr="00493A70">
        <w:rPr>
          <w:lang w:val="en-GB"/>
        </w:rPr>
        <w:t xml:space="preserve"> </w:t>
      </w:r>
    </w:p>
    <w:p w:rsidR="00436563" w:rsidRPr="00493A70" w:rsidRDefault="00436563">
      <w:pPr>
        <w:pStyle w:val="Kop3"/>
      </w:pPr>
      <w:r w:rsidRPr="00493A70">
        <w:t>Health care</w:t>
      </w:r>
    </w:p>
    <w:p w:rsidR="00436563" w:rsidRDefault="00436563" w:rsidP="003C7488">
      <w:pPr>
        <w:pStyle w:val="Plattetekst"/>
        <w:rPr>
          <w:lang w:val="en-GB"/>
        </w:rPr>
      </w:pPr>
      <w:r w:rsidRPr="00493A70">
        <w:rPr>
          <w:lang w:val="en-GB"/>
        </w:rPr>
        <w:t>Inadequate health care has been another contributor to lack of improvement of population health in this region.</w:t>
      </w:r>
      <w:r w:rsidR="001D3206">
        <w:rPr>
          <w:lang w:val="en-GB"/>
        </w:rPr>
        <w:fldChar w:fldCharType="begin">
          <w:fldData xml:space="preserve">PEVuZE5vdGU+PENpdGU+PEF1dGhvcj5BbmRyZWV2PC9BdXRob3I+PFllYXI+MjAwMzwvWWVhcj48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==
</w:fldData>
        </w:fldChar>
      </w:r>
      <w:r w:rsidR="00E968A4">
        <w:rPr>
          <w:lang w:val="en-GB"/>
        </w:rPr>
        <w:instrText xml:space="preserve"> ADDIN EN.CITE </w:instrText>
      </w:r>
      <w:r w:rsidR="001D3206">
        <w:rPr>
          <w:lang w:val="en-GB"/>
        </w:rPr>
        <w:fldChar w:fldCharType="begin">
          <w:fldData xml:space="preserve">PEVuZE5vdGU+PENpdGU+PEF1dGhvcj5BbmRyZWV2PC9BdXRob3I+PFllYXI+MjAwMzwvWWVhcj48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==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62-63</w:t>
      </w:r>
      <w:r w:rsidR="001D3206">
        <w:rPr>
          <w:lang w:val="en-GB"/>
        </w:rPr>
        <w:fldChar w:fldCharType="end"/>
      </w:r>
      <w:r w:rsidRPr="00493A70">
        <w:rPr>
          <w:lang w:val="en-GB"/>
        </w:rPr>
        <w:t xml:space="preserve"> Poor control of hypertension is an example. After the system change, there have been substantial improvements in mortality from causes where medical care can prevent or delay death in some countries. The failure of the Soviet system to develop a modern pharmaceutical industry, coupled with an inefficient distribution system,</w:t>
      </w:r>
      <w:r w:rsidR="001D3206">
        <w:rPr>
          <w:lang w:val="en-GB"/>
        </w:rPr>
        <w:fldChar w:fldCharType="begin"/>
      </w:r>
      <w:r w:rsidR="009679B5">
        <w:rPr>
          <w:lang w:val="en-GB"/>
        </w:rPr>
        <w:instrText xml:space="preserve"> ADDIN EN.CITE &lt;EndNote&gt;&lt;Cite&gt;&lt;Author&gt;McKee&lt;/Author&gt;&lt;Year&gt;2007&lt;/Year&gt;&lt;RecNum&gt;80&lt;/RecNum&gt;&lt;DisplayText&gt;[58]&lt;/DisplayText&gt;&lt;record&gt;&lt;rec-number&gt;80&lt;/rec-number&gt;&lt;foreign-keys&gt;&lt;key app="EN" db-id="x0x5v9tejav5faewxt4xwrd5aav2xredt5zf"&gt;80&lt;/key&gt;&lt;/foreign-keys&gt;&lt;ref-type name="Journal Article"&gt;17&lt;/ref-type&gt;&lt;contributors&gt;&lt;authors&gt;&lt;author&gt;McKee, M.&lt;/author&gt;&lt;/authors&gt;&lt;/contributors&gt;&lt;auth-address&gt;European Centre on Health of Societies in Transition, London School of Hygiene and Tropical Medicine, Keppel Street, London, UK. martin.mckee@lshtm.ac.uk&lt;/auth-address&gt;&lt;titles&gt;&lt;title&gt;Cochrane on Communism: the influence of ideology on the search for evidence&lt;/title&gt;&lt;secondary-title&gt;Int J Epidemiol&lt;/secondary-title&gt;&lt;/titles&gt;&lt;periodical&gt;&lt;full-title&gt;Int J Epidemiol&lt;/full-title&gt;&lt;abbr-1&gt;International journal of epidemiology&lt;/abbr-1&gt;&lt;/periodical&gt;&lt;pages&gt;269-73&lt;/pages&gt;&lt;volume&gt;36&lt;/volume&gt;&lt;number&gt;2&lt;/number&gt;&lt;edition&gt;2007/03/16&lt;/edition&gt;&lt;keywords&gt;&lt;keyword&gt;Attitude to Health&lt;/keyword&gt;&lt;keyword&gt;Communism/*history&lt;/keyword&gt;&lt;keyword&gt;Female&lt;/keyword&gt;&lt;keyword&gt;History, 20th Century&lt;/keyword&gt;&lt;keyword&gt;History, 21st Century&lt;/keyword&gt;&lt;keyword&gt;Humans&lt;/keyword&gt;&lt;keyword&gt;Male&lt;/keyword&gt;&lt;keyword&gt;Political Systems/history&lt;/keyword&gt;&lt;keyword&gt;Randomized Controlled Trials as Topic/*standards&lt;/keyword&gt;&lt;keyword&gt;USSR/epidemiology&lt;/keyword&gt;&lt;/keywords&gt;&lt;dates&gt;&lt;year&gt;2007&lt;/year&gt;&lt;pub-dates&gt;&lt;date&gt;Apr&lt;/date&gt;&lt;/pub-dates&gt;&lt;/dates&gt;&lt;isbn&gt;0300-5771 (Print)&amp;#xD;0300-5771 (Linking)&lt;/isbn&gt;&lt;accession-num&gt;17360779&lt;/accession-num&gt;&lt;urls&gt;&lt;related-urls&gt;&lt;url&gt;http://www.ncbi.nlm.nih.gov/entrez/query.fcgi?cmd=Retrieve&amp;amp;db=PubMed&amp;amp;dopt=Citation&amp;amp;list_uids=17360779&lt;/url&gt;&lt;/related-urls&gt;&lt;/urls&gt;&lt;electronic-resource-num&gt;dym002 [pii]&amp;#xD;10.1093/ije/dym002&lt;/electronic-resource-num&gt;&lt;language&gt;eng&lt;/language&gt;&lt;/record&gt;&lt;/Cite&gt;&lt;/EndNote&gt;</w:instrText>
      </w:r>
      <w:r w:rsidR="001D3206">
        <w:rPr>
          <w:lang w:val="en-GB"/>
        </w:rPr>
        <w:fldChar w:fldCharType="separate"/>
      </w:r>
      <w:r w:rsidR="00E968A4" w:rsidRPr="00E968A4">
        <w:rPr>
          <w:noProof/>
          <w:vertAlign w:val="superscript"/>
          <w:lang w:val="en-GB"/>
        </w:rPr>
        <w:t>64</w:t>
      </w:r>
      <w:r w:rsidR="001D3206">
        <w:rPr>
          <w:lang w:val="en-GB"/>
        </w:rPr>
        <w:fldChar w:fldCharType="end"/>
      </w:r>
      <w:r w:rsidRPr="00493A70">
        <w:rPr>
          <w:lang w:val="en-GB"/>
        </w:rPr>
        <w:t xml:space="preserve"> meant that many chronic diseases were untreated, a situation that persists in many parts of the region.</w:t>
      </w:r>
      <w:r w:rsidR="001D3206">
        <w:rPr>
          <w:lang w:val="en-GB"/>
        </w:rPr>
        <w:fldChar w:fldCharType="begin"/>
      </w:r>
      <w:r w:rsidR="00E968A4">
        <w:rPr>
          <w:lang w:val="en-GB"/>
        </w:rPr>
        <w:instrText xml:space="preserve"> ADDIN EN.CITE &lt;EndNote&gt;&lt;Cite&gt;&lt;Author&gt;Roberts&lt;/Author&gt;&lt;Year&gt;2012&lt;/Year&gt;&lt;RecNum&gt;59&lt;/RecNum&gt;&lt;record&gt;&lt;rec-number&gt;59&lt;/rec-number&gt;&lt;foreign-keys&gt;&lt;key app="EN" db-id="tss0rdex3zvparert03vs0prx5pspz50ftd5"&gt;59&lt;/key&gt;&lt;/foreign-keys&gt;&lt;ref-type name="Journal Article"&gt;17&lt;/ref-type&gt;&lt;contributors&gt;&lt;authors&gt;&lt;author&gt;Roberts, B.&lt;/author&gt;&lt;author&gt;Stickley, A.&lt;/author&gt;&lt;author&gt;Balabanova, D.&lt;/author&gt;&lt;author&gt;Haerpfer, C.&lt;/author&gt;&lt;author&gt;McKee, M.&lt;/author&gt;&lt;/authors&gt;&lt;/contributors&gt;&lt;auth-address&gt;London School of Hygiene and Tropical Medicine, London, UK.&lt;/auth-address&gt;&lt;titles&gt;&lt;title&gt;The persistence of irregular treatment of hypertension in the former Soviet Union&lt;/title&gt;&lt;secondary-title&gt;J Epidemiol Community Health&lt;/secondary-title&gt;&lt;/titles&gt;&lt;periodical&gt;&lt;full-title&gt;J Epidemiol Community Health&lt;/full-title&gt;&lt;/periodical&gt;&lt;edition&gt;2012/03/27&lt;/edition&gt;&lt;dates&gt;&lt;year&gt;2012&lt;/year&gt;&lt;pub-dates&gt;&lt;date&gt;Mar 24&lt;/date&gt;&lt;/pub-dates&gt;&lt;/dates&gt;&lt;isbn&gt;1470-2738 (Electronic)&amp;#xD;0143-005X (Linking)&lt;/isbn&gt;&lt;accession-num&gt;22447959&lt;/accession-num&gt;&lt;urls&gt;&lt;related-urls&gt;&lt;url&gt;http://www.ncbi.nlm.nih.gov/entrez/query.fcgi?cmd=Retrieve&amp;amp;db=PubMed&amp;amp;dopt=Citation&amp;amp;list_uids=22447959&lt;/url&gt;&lt;/related-urls&gt;&lt;/urls&gt;&lt;electronic-resource-num&gt;jech-2011-200645 [pii]&amp;#xD;10.1136/jech-2011-200645&lt;/electronic-resource-num&gt;&lt;language&gt;Eng&lt;/language&gt;&lt;/record&gt;&lt;/Cite&gt;&lt;/EndNote&gt;</w:instrText>
      </w:r>
      <w:r w:rsidR="001D3206">
        <w:rPr>
          <w:lang w:val="en-GB"/>
        </w:rPr>
        <w:fldChar w:fldCharType="separate"/>
      </w:r>
      <w:r w:rsidR="00E968A4" w:rsidRPr="00E968A4">
        <w:rPr>
          <w:noProof/>
          <w:vertAlign w:val="superscript"/>
          <w:lang w:val="en-GB"/>
        </w:rPr>
        <w:t>65</w:t>
      </w:r>
      <w:r w:rsidR="001D3206">
        <w:rPr>
          <w:lang w:val="en-GB"/>
        </w:rPr>
        <w:fldChar w:fldCharType="end"/>
      </w:r>
      <w:r w:rsidRPr="00493A70">
        <w:rPr>
          <w:lang w:val="en-GB"/>
        </w:rPr>
        <w:t xml:space="preserve"> It is commonly believed that the upward turn in life expectancy trends seen in Central and Eastern Europe in the early to mid-1990s at least partly reflected improvements in health care. </w:t>
      </w:r>
      <w:r w:rsidR="001D3206">
        <w:rPr>
          <w:lang w:val="en-GB"/>
        </w:rPr>
        <w:fldChar w:fldCharType="begin"/>
      </w:r>
      <w:r w:rsidR="00E968A4">
        <w:rPr>
          <w:lang w:val="en-GB"/>
        </w:rPr>
        <w:instrText xml:space="preserve"> ADDIN EN.CITE &lt;EndNote&gt;&lt;Cite&gt;&lt;Author&gt;Nolte&lt;/Author&gt;&lt;Year&gt;2002&lt;/Year&gt;&lt;RecNum&gt;60&lt;/RecNum&gt;&lt;record&gt;&lt;rec-number&gt;60&lt;/rec-number&gt;&lt;foreign-keys&gt;&lt;key app="EN" db-id="tss0rdex3zvparert03vs0prx5pspz50ftd5"&gt;60&lt;/key&gt;&lt;/foreign-keys&gt;&lt;ref-type name="Journal Article"&gt;17&lt;/ref-type&gt;&lt;contributors&gt;&lt;authors&gt;&lt;author&gt;Nolte, E.&lt;/author&gt;&lt;author&gt;Scholz, R.&lt;/author&gt;&lt;author&gt;Shkolnikov, V.&lt;/author&gt;&lt;author&gt;McKee, M.&lt;/author&gt;&lt;/authors&gt;&lt;/contributors&gt;&lt;auth-address&gt;European Centre on Health of Societies in Transition, London School of Hygiene and Tropical Medicine, Keppel Street, London WC1E 7HT, UK. ellen.nolte@lshtm.ac.uk&lt;/auth-address&gt;&lt;titles&gt;&lt;title&gt;The contribution of medical care to changing life expectancy in Germany and Poland&lt;/title&gt;&lt;secondary-title&gt;Soc Sci Med&lt;/secondary-title&gt;&lt;/titles&gt;&lt;periodical&gt;&lt;full-title&gt;Soc Sci Med&lt;/full-title&gt;&lt;/periodical&gt;&lt;pages&gt;1905-21&lt;/pages&gt;&lt;volume&gt;55&lt;/volume&gt;&lt;number&gt;11&lt;/number&gt;&lt;edition&gt;2002/10/31&lt;/edition&gt;&lt;keywords&gt;&lt;keyword&gt;Adolescent&lt;/keyword&gt;&lt;keyword&gt;Adult&lt;/keyword&gt;&lt;keyword&gt;Aged&lt;/keyword&gt;&lt;keyword&gt;Cause of Death&lt;/keyword&gt;&lt;keyword&gt;Child&lt;/keyword&gt;&lt;keyword&gt;Child, Preschool&lt;/keyword&gt;&lt;keyword&gt;Delivery of Health Care&lt;/keyword&gt;&lt;keyword&gt;Female&lt;/keyword&gt;&lt;keyword&gt;Germany/epidemiology&lt;/keyword&gt;&lt;keyword&gt;*Health Policy&lt;/keyword&gt;&lt;keyword&gt;Health Status&lt;/keyword&gt;&lt;keyword&gt;Humans&lt;/keyword&gt;&lt;keyword&gt;Infant&lt;/keyword&gt;&lt;keyword&gt;Infant, Newborn&lt;/keyword&gt;&lt;keyword&gt;Life Expectancy/*trends&lt;/keyword&gt;&lt;keyword&gt;Male&lt;/keyword&gt;&lt;keyword&gt;Middle Aged&lt;/keyword&gt;&lt;keyword&gt;Mortality/*trends&lt;/keyword&gt;&lt;keyword&gt;Poland/epidemiology&lt;/keyword&gt;&lt;/keywords&gt;&lt;dates&gt;&lt;year&gt;2002&lt;/year&gt;&lt;pub-dates&gt;&lt;date&gt;Dec&lt;/date&gt;&lt;/pub-dates&gt;&lt;/dates&gt;&lt;isbn&gt;0277-9536 (Print)&amp;#xD;0277-9536 (Linking)&lt;/isbn&gt;&lt;accession-num&gt;12406460&lt;/accession-num&gt;&lt;urls&gt;&lt;related-urls&gt;&lt;url&gt;http://www.ncbi.nlm.nih.gov/entrez/query.fcgi?cmd=Retrieve&amp;amp;db=PubMed&amp;amp;dopt=Citation&amp;amp;list_uids=12406460&lt;/url&gt;&lt;/related-urls&gt;&lt;/urls&gt;&lt;electronic-resource-num&gt;S0277953601003203 [pii]&lt;/electronic-resource-num&gt;&lt;language&gt;eng&lt;/language&gt;&lt;/record&gt;&lt;/Cite&gt;&lt;/EndNote&gt;</w:instrText>
      </w:r>
      <w:r w:rsidR="001D3206">
        <w:rPr>
          <w:lang w:val="en-GB"/>
        </w:rPr>
        <w:fldChar w:fldCharType="separate"/>
      </w:r>
      <w:r w:rsidR="00E968A4" w:rsidRPr="00E968A4">
        <w:rPr>
          <w:noProof/>
          <w:vertAlign w:val="superscript"/>
          <w:lang w:val="en-GB"/>
        </w:rPr>
        <w:t>66</w:t>
      </w:r>
      <w:r w:rsidR="001D3206">
        <w:rPr>
          <w:lang w:val="en-GB"/>
        </w:rPr>
        <w:fldChar w:fldCharType="end"/>
      </w:r>
      <w:r w:rsidRPr="00493A70">
        <w:rPr>
          <w:lang w:val="en-GB"/>
        </w:rPr>
        <w:t xml:space="preserve"> However, in many former Soviet countries the previous system that at least provided basic care has broken down. Many people must pay out of pocket for care, either as formal or informal payments. As a consequence, many fail to obtain care when needed.</w:t>
      </w:r>
      <w:r w:rsidR="001D3206">
        <w:rPr>
          <w:lang w:val="en-GB"/>
        </w:rPr>
        <w:fldChar w:fldCharType="begin"/>
      </w:r>
      <w:r w:rsidR="009679B5">
        <w:rPr>
          <w:lang w:val="en-GB"/>
        </w:rPr>
        <w:instrText xml:space="preserve"> ADDIN EN.CITE &lt;EndNote&gt;&lt;Cite&gt;&lt;Author&gt;Balabanova&lt;/Author&gt;&lt;Year&gt;2012&lt;/Year&gt;&lt;RecNum&gt;32&lt;/RecNum&gt;&lt;DisplayText&gt;[61]&lt;/DisplayText&gt;&lt;record&gt;&lt;rec-number&gt;32&lt;/rec-number&gt;&lt;foreign-keys&gt;&lt;key app="EN" db-id="x0x5v9tejav5faewxt4xwrd5aav2xredt5zf"&gt;32&lt;/key&gt;&lt;/foreign-keys&gt;&lt;ref-type name="Journal Article"&gt;17&lt;/ref-type&gt;&lt;contributors&gt;&lt;authors&gt;&lt;author&gt;Balabanova, D.&lt;/author&gt;&lt;author&gt;Roberts, B.&lt;/author&gt;&lt;author&gt;Richardson, E.&lt;/author&gt;&lt;author&gt;Haerpfer, C.&lt;/author&gt;&lt;author&gt;McKee, M.&lt;/author&gt;&lt;/authors&gt;&lt;/contributors&gt;&lt;auth-address&gt;London School of Hygiene and Tropical Medicine, Faculty of Public Health and Policy, 15-17 Tavistock Place, London, WC1H 9SH, UK.&lt;/auth-address&gt;&lt;titles&gt;&lt;title&gt;Health care reform in the former Soviet Union: beyond the transition&lt;/title&gt;&lt;secondary-title&gt;Health Serv Res&lt;/secondary-title&gt;&lt;/titles&gt;&lt;pages&gt;840-64&lt;/pages&gt;&lt;volume&gt;47&lt;/volume&gt;&lt;number&gt;2&lt;/number&gt;&lt;edition&gt;2011/11/19&lt;/edition&gt;&lt;dates&gt;&lt;year&gt;2012&lt;/year&gt;&lt;pub-dates&gt;&lt;date&gt;Apr&lt;/date&gt;&lt;/pub-dates&gt;&lt;/dates&gt;&lt;isbn&gt;1475-6773 (Electronic)&amp;#xD;0017-9124 (Linking)&lt;/isbn&gt;&lt;accession-num&gt;22092004&lt;/accession-num&gt;&lt;urls&gt;&lt;related-urls&gt;&lt;url&gt;http://www.ncbi.nlm.nih.gov/entrez/query.fcgi?cmd=Retrieve&amp;amp;db=PubMed&amp;amp;dopt=Citation&amp;amp;list_uids=22092004&lt;/url&gt;&lt;/related-urls&gt;&lt;/urls&gt;&lt;electronic-resource-num&gt;10.1111/j.1475-6773.2011.01323.x&lt;/electronic-resource-num&gt;&lt;language&gt;eng&lt;/language&gt;&lt;/record&gt;&lt;/Cite&gt;&lt;/EndNote&gt;</w:instrText>
      </w:r>
      <w:r w:rsidR="001D3206">
        <w:rPr>
          <w:lang w:val="en-GB"/>
        </w:rPr>
        <w:fldChar w:fldCharType="separate"/>
      </w:r>
      <w:r w:rsidR="00E968A4" w:rsidRPr="00E968A4">
        <w:rPr>
          <w:noProof/>
          <w:vertAlign w:val="superscript"/>
          <w:lang w:val="en-GB"/>
        </w:rPr>
        <w:t>67</w:t>
      </w:r>
      <w:r w:rsidR="001D3206">
        <w:rPr>
          <w:lang w:val="en-GB"/>
        </w:rPr>
        <w:fldChar w:fldCharType="end"/>
      </w:r>
      <w:r w:rsidRPr="00493A70">
        <w:rPr>
          <w:lang w:val="en-GB"/>
        </w:rPr>
        <w:t xml:space="preserve"> </w:t>
      </w:r>
    </w:p>
    <w:p w:rsidR="0051672D" w:rsidRPr="00493A70" w:rsidRDefault="0051672D" w:rsidP="003C7488">
      <w:pPr>
        <w:pStyle w:val="Plattetekst"/>
        <w:rPr>
          <w:lang w:val="en-GB"/>
        </w:rPr>
      </w:pPr>
      <w:r>
        <w:rPr>
          <w:lang w:val="en-GB"/>
        </w:rPr>
        <w:t>Box 3 describes the contrasting experiences of Austria and the Czech Republic, and of Estonia and Finland, whose current health situation is still strongly determined by Europe’s political history.</w:t>
      </w:r>
    </w:p>
    <w:p w:rsidR="00436563" w:rsidRPr="00493A70" w:rsidRDefault="00436563">
      <w:pPr>
        <w:pStyle w:val="Kop2"/>
      </w:pPr>
      <w:r w:rsidRPr="00493A70">
        <w:t>Sub-national variations</w:t>
      </w:r>
    </w:p>
    <w:p w:rsidR="00436563" w:rsidRPr="00493A70" w:rsidRDefault="00436563" w:rsidP="003C7488">
      <w:pPr>
        <w:pStyle w:val="Plattetekst"/>
        <w:rPr>
          <w:lang w:val="en-GB"/>
        </w:rPr>
      </w:pPr>
      <w:r w:rsidRPr="00493A70">
        <w:rPr>
          <w:lang w:val="en-GB"/>
        </w:rPr>
        <w:t xml:space="preserve">The countries of Europe vary enormously in size, from Monaco and San Marino, each with under 40,000 inhabitants, to Russia and Germany, with 141 and 82 million respectively. Unsurprisingly, within-country differences are often as large as between-country   differences. </w:t>
      </w:r>
    </w:p>
    <w:p w:rsidR="00436563" w:rsidRPr="00493A70" w:rsidRDefault="00436563">
      <w:pPr>
        <w:pStyle w:val="Kop3"/>
      </w:pPr>
      <w:r w:rsidRPr="00493A70">
        <w:t>Regional variations</w:t>
      </w:r>
    </w:p>
    <w:p w:rsidR="00436563" w:rsidRPr="00493A70" w:rsidRDefault="00436563" w:rsidP="003C7488">
      <w:pPr>
        <w:pStyle w:val="Plattetekst"/>
        <w:rPr>
          <w:lang w:val="en-GB"/>
        </w:rPr>
      </w:pPr>
      <w:r w:rsidRPr="00493A70">
        <w:rPr>
          <w:lang w:val="en-GB"/>
        </w:rPr>
        <w:t>A recent mortality atlas by Eurostat reveals striking patterns of regional variation.</w:t>
      </w:r>
      <w:r w:rsidR="001D3206">
        <w:rPr>
          <w:lang w:val="en-GB"/>
        </w:rPr>
        <w:fldChar w:fldCharType="begin"/>
      </w:r>
      <w:r w:rsidR="009679B5">
        <w:rPr>
          <w:lang w:val="en-GB"/>
        </w:rPr>
        <w:instrText xml:space="preserve"> ADDIN EN.CITE &lt;EndNote&gt;&lt;Cite&gt;&lt;Author&gt;Eurostat&lt;/Author&gt;&lt;Year&gt;2009&lt;/Year&gt;&lt;RecNum&gt;82&lt;/RecNum&gt;&lt;DisplayText&gt;[62]&lt;/DisplayText&gt;&lt;record&gt;&lt;rec-number&gt;82&lt;/rec-number&gt;&lt;foreign-keys&gt;&lt;key app="EN" db-id="x0x5v9tejav5faewxt4xwrd5aav2xredt5zf"&gt;82&lt;/key&gt;&lt;/foreign-keys&gt;&lt;ref-type name="Book"&gt;6&lt;/ref-type&gt;&lt;contributors&gt;&lt;authors&gt;&lt;author&gt;Eurostat&lt;/author&gt;&lt;/authors&gt;&lt;/contributors&gt;&lt;titles&gt;&lt;title&gt;Health statistics – Atlas on mortality in the European Union&lt;/title&gt;&lt;/titles&gt;&lt;dates&gt;&lt;year&gt;2009&lt;/year&gt;&lt;/dates&gt;&lt;pub-location&gt;Luxembourg&lt;/pub-location&gt;&lt;publisher&gt;Eurostat&lt;/publisher&gt;&lt;urls&gt;&lt;/urls&gt;&lt;/record&gt;&lt;/Cite&gt;&lt;/EndNote&gt;</w:instrText>
      </w:r>
      <w:r w:rsidR="001D3206">
        <w:rPr>
          <w:lang w:val="en-GB"/>
        </w:rPr>
        <w:fldChar w:fldCharType="separate"/>
      </w:r>
      <w:r w:rsidR="00E968A4" w:rsidRPr="00E968A4">
        <w:rPr>
          <w:noProof/>
          <w:vertAlign w:val="superscript"/>
          <w:lang w:val="en-GB"/>
        </w:rPr>
        <w:t>68</w:t>
      </w:r>
      <w:r w:rsidR="001D3206">
        <w:rPr>
          <w:lang w:val="en-GB"/>
        </w:rPr>
        <w:fldChar w:fldCharType="end"/>
      </w:r>
      <w:r w:rsidRPr="00493A70">
        <w:rPr>
          <w:lang w:val="en-GB"/>
        </w:rPr>
        <w:t xml:space="preserve"> Thus, in France, Germany and the United Kingdom life expectancy is higher in the South, while in Spain it is higher in the North. These sub-national variations in health are sometimes quite large, with life expectancy at birth in Scotland 2.5 years (men) and 1.9 years (women) below the United Kingdom average. Despite European integration, national boundaries can still clearly be seen in maps of cause-specific mortality, suggesting the continuing influence of national-level factors (Figure 4). Nevertheless, as many of the larger European countries undergo processes of decentralisation, policies related to health are increasingly determined at regional rather than national level. In the United Kingdom, for example, the four </w:t>
      </w:r>
      <w:r w:rsidRPr="00493A70">
        <w:rPr>
          <w:lang w:val="en-GB"/>
        </w:rPr>
        <w:lastRenderedPageBreak/>
        <w:t>constituent countries now have markedly different policies on the delivery of health care,</w:t>
      </w:r>
      <w:r w:rsidR="001D3206">
        <w:rPr>
          <w:lang w:val="en-GB"/>
        </w:rPr>
        <w:fldChar w:fldCharType="begin"/>
      </w:r>
      <w:r w:rsidR="009679B5">
        <w:rPr>
          <w:lang w:val="en-GB"/>
        </w:rPr>
        <w:instrText xml:space="preserve"> ADDIN EN.CITE &lt;EndNote&gt;&lt;Cite&gt;&lt;Author&gt;Bevan&lt;/Author&gt;&lt;Year&gt;2010&lt;/Year&gt;&lt;RecNum&gt;83&lt;/RecNum&gt;&lt;DisplayText&gt;[63]&lt;/DisplayText&gt;&lt;record&gt;&lt;rec-number&gt;83&lt;/rec-number&gt;&lt;foreign-keys&gt;&lt;key app="EN" db-id="x0x5v9tejav5faewxt4xwrd5aav2xredt5zf"&gt;83&lt;/key&gt;&lt;/foreign-keys&gt;&lt;ref-type name="Journal Article"&gt;17&lt;/ref-type&gt;&lt;contributors&gt;&lt;authors&gt;&lt;author&gt;Bevan, G.&lt;/author&gt;&lt;/authors&gt;&lt;/contributors&gt;&lt;titles&gt;&lt;title&gt;Impact of devolution of health care in the UK: provider challenge in England and provider capture in Wales, Scotland and Northern Ireland?&lt;/title&gt;&lt;secondary-title&gt;J Health Serv Res Policy&lt;/secondary-title&gt;&lt;/titles&gt;&lt;pages&gt;67-8&lt;/pages&gt;&lt;volume&gt;15&lt;/volume&gt;&lt;number&gt;2&lt;/number&gt;&lt;edition&gt;2010/03/03&lt;/edition&gt;&lt;keywords&gt;&lt;keyword&gt;Delivery of Health Care/economics/*organization &amp;amp; administration&lt;/keyword&gt;&lt;keyword&gt;Great Britain&lt;/keyword&gt;&lt;keyword&gt;*Policy Making&lt;/keyword&gt;&lt;keyword&gt;State Medicine/economics/*organization &amp;amp; administration&lt;/keyword&gt;&lt;/keywords&gt;&lt;dates&gt;&lt;year&gt;2010&lt;/year&gt;&lt;pub-dates&gt;&lt;date&gt;Apr&lt;/date&gt;&lt;/pub-dates&gt;&lt;/dates&gt;&lt;isbn&gt;1758-1060 (Electronic)&amp;#xD;1355-8196 (Linking)&lt;/isbn&gt;&lt;accession-num&gt;20194432&lt;/accession-num&gt;&lt;urls&gt;&lt;related-urls&gt;&lt;url&gt;http://www.ncbi.nlm.nih.gov/entrez/query.fcgi?cmd=Retrieve&amp;amp;db=PubMed&amp;amp;dopt=Citation&amp;amp;list_uids=20194432&lt;/url&gt;&lt;/related-urls&gt;&lt;/urls&gt;&lt;electronic-resource-num&gt;jhsrp.2010.009174 [pii]&amp;#xD;10.1258/jhsrp.2010.009174&lt;/electronic-resource-num&gt;&lt;language&gt;eng&lt;/language&gt;&lt;/record&gt;&lt;/Cite&gt;&lt;/EndNote&gt;</w:instrText>
      </w:r>
      <w:r w:rsidR="001D3206">
        <w:rPr>
          <w:lang w:val="en-GB"/>
        </w:rPr>
        <w:fldChar w:fldCharType="separate"/>
      </w:r>
      <w:r w:rsidR="00E968A4" w:rsidRPr="00E968A4">
        <w:rPr>
          <w:noProof/>
          <w:vertAlign w:val="superscript"/>
          <w:lang w:val="en-GB"/>
        </w:rPr>
        <w:t>69</w:t>
      </w:r>
      <w:r w:rsidR="001D3206">
        <w:rPr>
          <w:lang w:val="en-GB"/>
        </w:rPr>
        <w:fldChar w:fldCharType="end"/>
      </w:r>
      <w:r w:rsidRPr="00493A70">
        <w:rPr>
          <w:lang w:val="en-GB"/>
        </w:rPr>
        <w:t xml:space="preserve"> as do the 17 regions of Spain, although there the financial crisis is leading to a rebalancing of power between the centre and regions, led by finance ministries.</w:t>
      </w:r>
      <w:r w:rsidR="001D3206">
        <w:rPr>
          <w:lang w:val="en-GB"/>
        </w:rPr>
        <w:fldChar w:fldCharType="begin"/>
      </w:r>
      <w:r w:rsidR="00E968A4">
        <w:rPr>
          <w:lang w:val="en-GB"/>
        </w:rPr>
        <w:instrText xml:space="preserve"> ADDIN EN.CITE &lt;EndNote&gt;&lt;Cite&gt;&lt;Author&gt;Gené-Badiaa&lt;/Author&gt;&lt;Year&gt;2012&lt;/Year&gt;&lt;RecNum&gt;64&lt;/RecNum&gt;&lt;record&gt;&lt;rec-number&gt;64&lt;/rec-number&gt;&lt;foreign-keys&gt;&lt;key app="EN" db-id="tss0rdex3zvparert03vs0prx5pspz50ftd5"&gt;64&lt;/key&gt;&lt;/foreign-keys&gt;&lt;ref-type name="Journal Article"&gt;17&lt;/ref-type&gt;&lt;contributors&gt;&lt;authors&gt;&lt;author&gt;Gené-Badiaa, J.&lt;/author&gt;&lt;author&gt;Gallob, P.&lt;/author&gt;&lt;author&gt;Hernández-Quevedoc, C.&lt;/author&gt;&lt;author&gt;García-Armestod, S.&lt;/author&gt;&lt;/authors&gt;&lt;/contributors&gt;&lt;titles&gt;&lt;title&gt; Spanish health care cuts: Penny wise and pound foolish?&lt;/title&gt;&lt;secondary-title&gt;Health Policy&lt;/secondary-title&gt;&lt;/titles&gt;&lt;periodical&gt;&lt;full-title&gt;Health Policy&lt;/full-title&gt;&lt;/periodical&gt;&lt;volume&gt;http://dx.doi.org/10.1016/j.healthpol.2012.02.001&lt;/volume&gt;&lt;dates&gt;&lt;year&gt;2012&lt;/year&gt;&lt;/dates&gt;&lt;urls&gt;&lt;/urls&gt;&lt;/record&gt;&lt;/Cite&gt;&lt;/EndNote&gt;</w:instrText>
      </w:r>
      <w:r w:rsidR="001D3206">
        <w:rPr>
          <w:lang w:val="en-GB"/>
        </w:rPr>
        <w:fldChar w:fldCharType="separate"/>
      </w:r>
      <w:r w:rsidR="00E968A4" w:rsidRPr="00E968A4">
        <w:rPr>
          <w:noProof/>
          <w:vertAlign w:val="superscript"/>
          <w:lang w:val="en-GB"/>
        </w:rPr>
        <w:t>70</w:t>
      </w:r>
      <w:r w:rsidR="001D3206">
        <w:rPr>
          <w:lang w:val="en-GB"/>
        </w:rPr>
        <w:fldChar w:fldCharType="end"/>
      </w:r>
      <w:r w:rsidRPr="00493A70">
        <w:rPr>
          <w:lang w:val="en-GB"/>
        </w:rPr>
        <w:t xml:space="preserve">  </w:t>
      </w:r>
    </w:p>
    <w:p w:rsidR="00436563" w:rsidRPr="00493A70" w:rsidRDefault="00436563">
      <w:pPr>
        <w:pStyle w:val="Kop3"/>
      </w:pPr>
      <w:r w:rsidRPr="00493A70">
        <w:t>Socioeconomic inequalities</w:t>
      </w:r>
    </w:p>
    <w:p w:rsidR="00436563" w:rsidRPr="00493A70" w:rsidRDefault="00436563" w:rsidP="003C7488">
      <w:pPr>
        <w:pStyle w:val="Plattetekst"/>
        <w:rPr>
          <w:lang w:val="en-GB"/>
        </w:rPr>
      </w:pPr>
      <w:r w:rsidRPr="00493A70">
        <w:rPr>
          <w:lang w:val="en-GB"/>
        </w:rPr>
        <w:t xml:space="preserve">The most significant source of health variations within countries is the scale of inequalities between socioeconomic groups defined on the basis of education, occupation or income. Inequalities in life expectancy between socioeconomic groups typically are in the order of 5 to 8 years and they have been stable or even widening throughout the years since 1970 </w:t>
      </w:r>
      <w:r w:rsidR="001D3206">
        <w:rPr>
          <w:lang w:val="en-GB"/>
        </w:rPr>
        <w:fldChar w:fldCharType="begin"/>
      </w:r>
      <w:r w:rsidR="009679B5">
        <w:rPr>
          <w:lang w:val="en-GB"/>
        </w:rPr>
        <w:instrText xml:space="preserve"> ADDIN EN.CITE &lt;EndNote&gt;&lt;Cite&gt;&lt;Author&gt;Marmot&lt;/Author&gt;&lt;Year&gt;2010&lt;/Year&gt;&lt;RecNum&gt;124&lt;/RecNum&gt;&lt;DisplayText&gt;[65]&lt;/DisplayText&gt;&lt;record&gt;&lt;rec-number&gt;124&lt;/rec-number&gt;&lt;foreign-keys&gt;&lt;key app="EN" db-id="x0x5v9tejav5faewxt4xwrd5aav2xredt5zf"&gt;124&lt;/key&gt;&lt;/foreign-keys&gt;&lt;ref-type name="Book"&gt;6&lt;/ref-type&gt;&lt;contributors&gt;&lt;authors&gt;&lt;author&gt;Marmot, M.&lt;/author&gt;&lt;/authors&gt;&lt;/contributors&gt;&lt;titles&gt;&lt;title&gt;Fair Society, Healthy Lives (the Marmot review)&lt;/title&gt;&lt;/titles&gt;&lt;dates&gt;&lt;year&gt;2010&lt;/year&gt;&lt;/dates&gt;&lt;pub-location&gt;London&lt;/pub-location&gt;&lt;publisher&gt;Department of Health&lt;/publisher&gt;&lt;urls&gt;&lt;related-urls&gt;&lt;url&gt;http://www.ucl.ac.uk/gheg/marmotreview&lt;/url&gt;&lt;/related-urls&gt;&lt;/urls&gt;&lt;/record&gt;&lt;/Cite&gt;&lt;/EndNote&gt;</w:instrText>
      </w:r>
      <w:r w:rsidR="001D3206">
        <w:rPr>
          <w:lang w:val="en-GB"/>
        </w:rPr>
        <w:fldChar w:fldCharType="separate"/>
      </w:r>
      <w:r w:rsidR="00E968A4" w:rsidRPr="00E968A4">
        <w:rPr>
          <w:noProof/>
          <w:vertAlign w:val="superscript"/>
          <w:lang w:val="en-GB"/>
        </w:rPr>
        <w:t>71</w:t>
      </w:r>
      <w:r w:rsidR="001D3206">
        <w:rPr>
          <w:lang w:val="en-GB"/>
        </w:rPr>
        <w:fldChar w:fldCharType="end"/>
      </w:r>
      <w:r w:rsidRPr="00493A70">
        <w:rPr>
          <w:lang w:val="en-GB"/>
        </w:rPr>
        <w:t>. This is most often because, although life expectancy has improved in all socioeconomic groups, it has done so faster in the higher groups.</w:t>
      </w:r>
      <w:r w:rsidR="001D3206">
        <w:rPr>
          <w:lang w:val="en-GB"/>
        </w:rPr>
        <w:fldChar w:fldCharType="begin">
          <w:fldData xml:space="preserve">PEVuZE5vdGU+PENpdGU+PEF1dGhvcj5NYWNrZW5iYWNoPC9BdXRob3I+PFllYXI+MjAwMzwvWWVh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</w:fldData>
        </w:fldChar>
      </w:r>
      <w:r w:rsidR="00E968A4">
        <w:rPr>
          <w:lang w:val="en-GB"/>
        </w:rPr>
        <w:instrText xml:space="preserve"> ADDIN EN.CITE </w:instrText>
      </w:r>
      <w:r w:rsidR="001D3206">
        <w:rPr>
          <w:lang w:val="en-GB"/>
        </w:rPr>
        <w:fldChar w:fldCharType="begin">
          <w:fldData xml:space="preserve">PEVuZE5vdGU+PENpdGU+PEF1dGhvcj5NYWNrZW5iYWNoPC9BdXRob3I+PFllYXI+MjAwMzwvWWVh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72</w:t>
      </w:r>
      <w:r w:rsidR="001D3206">
        <w:rPr>
          <w:lang w:val="en-GB"/>
        </w:rPr>
        <w:fldChar w:fldCharType="end"/>
      </w:r>
      <w:r w:rsidRPr="00493A70">
        <w:rPr>
          <w:lang w:val="en-GB"/>
        </w:rPr>
        <w:t xml:space="preserve"> This is mainly due to the widening gap in cardiovascular disease mortality: declines in cardiovascular disease mortality have been greater in the higher than in the lower socioeconomic groups reflecting differences in uptake of behaviour changes and new health care interventions. Some of the successes of health policy mentioned above thus do not appear to have been shared equally. </w:t>
      </w:r>
    </w:p>
    <w:p w:rsidR="00436563" w:rsidRPr="00493A70" w:rsidRDefault="00436563" w:rsidP="003C7488">
      <w:pPr>
        <w:pStyle w:val="Plattetekst"/>
        <w:rPr>
          <w:lang w:val="en-GB"/>
        </w:rPr>
      </w:pPr>
      <w:r w:rsidRPr="00493A70">
        <w:rPr>
          <w:lang w:val="en-GB"/>
        </w:rPr>
        <w:t>Yet variations in the magnitude of health inequalities between European regions show that they are modifiable.</w:t>
      </w:r>
      <w:r w:rsidR="001D3206">
        <w:rPr>
          <w:lang w:val="en-GB"/>
        </w:rPr>
        <w:fldChar w:fldCharType="begin">
          <w:fldData xml:space="preserve">PEVuZE5vdGU+PENpdGU+PEF1dGhvcj5NYWNrZW5iYWNoPC9BdXRob3I+PFllYXI+MjAwODwvWWVh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</w:fldData>
        </w:fldChar>
      </w:r>
      <w:r w:rsidR="00E968A4">
        <w:rPr>
          <w:lang w:val="en-GB"/>
        </w:rPr>
        <w:instrText xml:space="preserve"> ADDIN EN.CITE </w:instrText>
      </w:r>
      <w:r w:rsidR="001D3206">
        <w:rPr>
          <w:lang w:val="en-GB"/>
        </w:rPr>
        <w:fldChar w:fldCharType="begin">
          <w:fldData xml:space="preserve">PEVuZE5vdGU+PENpdGU+PEF1dGhvcj5NYWNrZW5iYWNoPC9BdXRob3I+PFllYXI+MjAwODwvWWVh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73</w:t>
      </w:r>
      <w:r w:rsidR="001D3206">
        <w:rPr>
          <w:lang w:val="en-GB"/>
        </w:rPr>
        <w:fldChar w:fldCharType="end"/>
      </w:r>
      <w:r w:rsidRPr="00493A70">
        <w:rPr>
          <w:lang w:val="en-GB"/>
        </w:rPr>
        <w:t xml:space="preserve"> In the Mediterranean countries, inequalities in mortally are smaller than elsewhere, due to narrower inequalities in mortality from cardiovascular disease and cancer (particularly among women), with smaller differences in smoking and excessive alcohol consumption. In Central and Eastern Europe, on the other hand, inequalities in mortality are larger than elsewhere, due to larger differences in mortality from cardiovascular disease, cancer and injuries, due to larger inequalities in smoking, excessive alcohol consumption and inadequate health care.</w:t>
      </w:r>
      <w:r w:rsidR="001D3206">
        <w:rPr>
          <w:lang w:val="en-GB"/>
        </w:rPr>
        <w:fldChar w:fldCharType="begin">
          <w:fldData xml:space="preserve">PEVuZE5vdGU+PENpdGU+PEF1dGhvcj5NYWNrZW5iYWNoPC9BdXRob3I+PFllYXI+MjAwODwvWWVh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</w:fldData>
        </w:fldChar>
      </w:r>
      <w:r w:rsidR="00E968A4">
        <w:rPr>
          <w:lang w:val="en-GB"/>
        </w:rPr>
        <w:instrText xml:space="preserve"> ADDIN EN.CITE </w:instrText>
      </w:r>
      <w:r w:rsidR="001D3206">
        <w:rPr>
          <w:lang w:val="en-GB"/>
        </w:rPr>
        <w:fldChar w:fldCharType="begin">
          <w:fldData xml:space="preserve">PEVuZE5vdGU+PENpdGU+PEF1dGhvcj5NYWNrZW5iYWNoPC9BdXRob3I+PFllYXI+MjAwODwvWWVh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73</w:t>
      </w:r>
      <w:r w:rsidR="001D3206">
        <w:rPr>
          <w:lang w:val="en-GB"/>
        </w:rPr>
        <w:fldChar w:fldCharType="end"/>
      </w:r>
      <w:r w:rsidRPr="00493A70">
        <w:rPr>
          <w:lang w:val="en-GB"/>
        </w:rPr>
        <w:t xml:space="preserve"> Most of the increase in mortality seen in Central and Eastern Europe and the former Soviet Union in the 1990s was limited to lower socioeconomic groups, which appear to have been particularly vulnerable to the economic transformation of this region.</w:t>
      </w:r>
      <w:r w:rsidR="001D3206">
        <w:rPr>
          <w:lang w:val="en-GB"/>
        </w:rPr>
        <w:fldChar w:fldCharType="begin"/>
      </w:r>
      <w:r w:rsidR="009679B5">
        <w:rPr>
          <w:lang w:val="en-GB"/>
        </w:rPr>
        <w:instrText xml:space="preserve"> ADDIN EN.CITE &lt;EndNote&gt;&lt;Cite&gt;&lt;Author&gt;Shkolnikov&lt;/Author&gt;&lt;Year&gt;1998&lt;/Year&gt;&lt;RecNum&gt;87&lt;/RecNum&gt;&lt;DisplayText&gt;[68]&lt;/DisplayText&gt;&lt;record&gt;&lt;rec-number&gt;87&lt;/rec-number&gt;&lt;foreign-keys&gt;&lt;key app="EN" db-id="x0x5v9tejav5faewxt4xwrd5aav2xredt5zf"&gt;87&lt;/key&gt;&lt;/foreign-keys&gt;&lt;ref-type name="Journal Article"&gt;17&lt;/ref-type&gt;&lt;contributors&gt;&lt;authors&gt;&lt;author&gt;Shkolnikov, V. M.&lt;/author&gt;&lt;author&gt;Leon, D. A.&lt;/author&gt;&lt;author&gt;Adamets, S.&lt;/author&gt;&lt;author&gt;Andreev, E.&lt;/author&gt;&lt;author&gt;Deev, A.&lt;/author&gt;&lt;/authors&gt;&lt;/contributors&gt;&lt;auth-address&gt;Center of Demography and Human Ecology, Institute for Economic Forecasting, Russian Academy of Sciences, Moscow.&lt;/auth-address&gt;&lt;titles&gt;&lt;title&gt;Educational level and adult mortality in Russia: an analysis of routine data 1979 to 1994&lt;/title&gt;&lt;secondary-title&gt;Soc Sci Med&lt;/secondary-title&gt;&lt;/titles&gt;&lt;periodical&gt;&lt;full-title&gt;Soc Sci Med&lt;/full-title&gt;&lt;/periodical&gt;&lt;pages&gt;357-69&lt;/pages&gt;&lt;volume&gt;47&lt;/volume&gt;&lt;number&gt;3&lt;/number&gt;&lt;edition&gt;1998/07/29&lt;/edition&gt;&lt;keywords&gt;&lt;keyword&gt;Adult&lt;/keyword&gt;&lt;keyword&gt;Aged&lt;/keyword&gt;&lt;keyword&gt;Alcoholism/mortality&lt;/keyword&gt;&lt;keyword&gt;Cause of Death&lt;/keyword&gt;&lt;keyword&gt;*Educational Status&lt;/keyword&gt;&lt;keyword&gt;Female&lt;/keyword&gt;&lt;keyword&gt;Humans&lt;/keyword&gt;&lt;keyword&gt;Life Expectancy&lt;/keyword&gt;&lt;keyword&gt;Male&lt;/keyword&gt;&lt;keyword&gt;Middle Aged&lt;/keyword&gt;&lt;keyword&gt;Mortality/*trends&lt;/keyword&gt;&lt;keyword&gt;Russia/epidemiology&lt;/keyword&gt;&lt;keyword&gt;Socioeconomic Factors&lt;/keyword&gt;&lt;/keywords&gt;&lt;dates&gt;&lt;year&gt;1998&lt;/year&gt;&lt;pub-dates&gt;&lt;date&gt;Aug&lt;/date&gt;&lt;/pub-dates&gt;&lt;/dates&gt;&lt;isbn&gt;0277-9536 (Print)&amp;#xD;0277-9536 (Linking)&lt;/isbn&gt;&lt;accession-num&gt;9681906&lt;/accession-num&gt;&lt;urls&gt;&lt;related-urls&gt;&lt;url&gt;http://www.ncbi.nlm.nih.gov/entrez/query.fcgi?cmd=Retrieve&amp;amp;db=PubMed&amp;amp;dopt=Citation&amp;amp;list_uids=9681906&lt;/url&gt;&lt;/related-urls&gt;&lt;/urls&gt;&lt;electronic-resource-num&gt;S0277953698000963 [pii]&lt;/electronic-resource-num&gt;&lt;language&gt;eng&lt;/language&gt;&lt;/record&gt;&lt;/Cite&gt;&lt;/EndNote&gt;</w:instrText>
      </w:r>
      <w:r w:rsidR="001D3206">
        <w:rPr>
          <w:lang w:val="en-GB"/>
        </w:rPr>
        <w:fldChar w:fldCharType="separate"/>
      </w:r>
      <w:r w:rsidR="00E968A4" w:rsidRPr="00E968A4">
        <w:rPr>
          <w:noProof/>
          <w:vertAlign w:val="superscript"/>
          <w:lang w:val="en-GB"/>
        </w:rPr>
        <w:t>74</w:t>
      </w:r>
      <w:r w:rsidR="001D3206">
        <w:rPr>
          <w:lang w:val="en-GB"/>
        </w:rPr>
        <w:fldChar w:fldCharType="end"/>
      </w:r>
      <w:r w:rsidRPr="00493A70">
        <w:rPr>
          <w:lang w:val="en-GB"/>
        </w:rPr>
        <w:t xml:space="preserve"> </w:t>
      </w:r>
    </w:p>
    <w:p w:rsidR="00436563" w:rsidRDefault="00436563" w:rsidP="003C7488">
      <w:pPr>
        <w:pStyle w:val="Plattetekst"/>
        <w:rPr>
          <w:lang w:val="en-GB"/>
        </w:rPr>
      </w:pPr>
      <w:r w:rsidRPr="00493A70">
        <w:rPr>
          <w:lang w:val="en-GB"/>
        </w:rPr>
        <w:t>Added to these are ethnic variations, but patterns are far from consistent due to variations in country of origin and to health-related selection processes, a topic addressed later in this series.</w:t>
      </w:r>
      <w:r>
        <w:rPr>
          <w:lang w:val="en-GB"/>
        </w:rPr>
        <w:t xml:space="preserve"> Crucially, ethnic disadvantage is not restricted to migrant population and, in many countries in central and eastern Europe, the Roma population face widespread discrimination and suffer from worse health than the majority populations.</w:t>
      </w:r>
      <w:r w:rsidR="001D3206">
        <w:rPr>
          <w:lang w:val="en-GB"/>
        </w:rPr>
        <w:fldChar w:fldCharType="begin"/>
      </w:r>
      <w:r w:rsidR="00E968A4">
        <w:rPr>
          <w:lang w:val="en-GB"/>
        </w:rPr>
        <w:instrText xml:space="preserve"> ADDIN EN.CITE &lt;EndNote&gt;&lt;Cite&gt;&lt;Author&gt;Hajioff&lt;/Author&gt;&lt;Year&gt;2000&lt;/Year&gt;&lt;RecNum&gt;79&lt;/RecNum&gt;&lt;record&gt;&lt;rec-number&gt;79&lt;/rec-number&gt;&lt;foreign-keys&gt;&lt;key app="EN" db-id="tss0rdex3zvparert03vs0prx5pspz50ftd5"&gt;79&lt;/key&gt;&lt;/foreign-keys&gt;&lt;ref-type name="Journal Article"&gt;17&lt;/ref-type&gt;&lt;contributors&gt;&lt;authors&gt;&lt;author&gt;Hajioff, S.&lt;/author&gt;&lt;author&gt;McKee, M.&lt;/author&gt;&lt;/authors&gt;&lt;/contributors&gt;&lt;auth-address&gt;European Centre on Health of Societies in Transition, London School of Hygiene and Tropical Medicine, Keppel Street, London WC1E 7HT. steve.haijoff@lshtm.ac.uk&lt;/auth-address&gt;&lt;titles&gt;&lt;title&gt;The health of the Roma people: a review of the published literature&lt;/title&gt;&lt;secondary-title&gt;J Epidemiol Community Health&lt;/secondary-title&gt;&lt;/titles&gt;&lt;periodical&gt;&lt;full-title&gt;J Epidemiol Community Health&lt;/full-title&gt;&lt;/periodical&gt;&lt;pages&gt;864-9&lt;/pages&gt;&lt;volume&gt;54&lt;/volume&gt;&lt;number&gt;11&lt;/number&gt;&lt;edition&gt;2000/10/12&lt;/edition&gt;&lt;keywords&gt;&lt;keyword&gt;Child Welfare&lt;/keyword&gt;&lt;keyword&gt;Communicable Diseases/epidemiology&lt;/keyword&gt;&lt;keyword&gt;Diabetes Mellitus/epidemiology&lt;/keyword&gt;&lt;keyword&gt;Europe/epidemiology&lt;/keyword&gt;&lt;keyword&gt;Female&lt;/keyword&gt;&lt;keyword&gt;*Gypsies&lt;/keyword&gt;&lt;keyword&gt;Health Services Accessibility&lt;/keyword&gt;&lt;keyword&gt;*Health Status&lt;/keyword&gt;&lt;keyword&gt;Humans&lt;/keyword&gt;&lt;keyword&gt;Hyperlipidemias/epidemiology&lt;/keyword&gt;&lt;keyword&gt;Infant, Low Birth Weight&lt;/keyword&gt;&lt;keyword&gt;Infant, Newborn&lt;/keyword&gt;&lt;keyword&gt;Information Storage and Retrieval&lt;/keyword&gt;&lt;keyword&gt;Life Style&lt;/keyword&gt;&lt;keyword&gt;Male&lt;/keyword&gt;&lt;keyword&gt;Needs Assessment&lt;/keyword&gt;&lt;keyword&gt;Pregnancy&lt;/keyword&gt;&lt;/keywords&gt;&lt;dates&gt;&lt;year&gt;2000&lt;/year&gt;&lt;pub-dates&gt;&lt;date&gt;Nov&lt;/date&gt;&lt;/pub-dates&gt;&lt;/dates&gt;&lt;isbn&gt;0143-005X (Print)&amp;#xD;0143-005X (Linking)&lt;/isbn&gt;&lt;accession-num&gt;11027202&lt;/accession-num&gt;&lt;urls&gt;&lt;related-urls&gt;&lt;url&gt;http://www.ncbi.nlm.nih.gov/entrez/query.fcgi?cmd=Retrieve&amp;amp;db=PubMed&amp;amp;dopt=Citation&amp;amp;list_uids=11027202&lt;/url&gt;&lt;/related-urls&gt;&lt;/urls&gt;&lt;custom2&gt;1731574&lt;/custom2&gt;&lt;language&gt;eng&lt;/language&gt;&lt;/record&gt;&lt;/Cite&gt;&lt;/EndNote&gt;</w:instrText>
      </w:r>
      <w:r w:rsidR="001D3206">
        <w:rPr>
          <w:lang w:val="en-GB"/>
        </w:rPr>
        <w:fldChar w:fldCharType="separate"/>
      </w:r>
      <w:r w:rsidR="00E968A4" w:rsidRPr="00E968A4">
        <w:rPr>
          <w:noProof/>
          <w:vertAlign w:val="superscript"/>
          <w:lang w:val="en-GB"/>
        </w:rPr>
        <w:t>75</w:t>
      </w:r>
      <w:r w:rsidR="001D3206">
        <w:rPr>
          <w:lang w:val="en-GB"/>
        </w:rPr>
        <w:fldChar w:fldCharType="end"/>
      </w:r>
    </w:p>
    <w:p w:rsidR="00436563" w:rsidRPr="00493A70" w:rsidRDefault="00436563" w:rsidP="003C7488">
      <w:pPr>
        <w:pStyle w:val="Plattetekst"/>
        <w:rPr>
          <w:lang w:val="en-GB"/>
        </w:rPr>
      </w:pPr>
      <w:r>
        <w:rPr>
          <w:lang w:val="en-GB"/>
        </w:rPr>
        <w:t>The European Regional Office of the WHO has recently conducted a major review of social determinants of health in Europe and this forms a key part of its new Health 2020 strategy.</w:t>
      </w:r>
      <w:r w:rsidR="001D3206">
        <w:rPr>
          <w:lang w:val="en-GB"/>
        </w:rPr>
        <w:fldChar w:fldCharType="begin">
          <w:fldData xml:space="preserve">PEVuZE5vdGU+PENpdGU+PEF1dGhvcj5NYXJtb3Q8L0F1dGhvcj48WWVhcj4yMDEyPC9ZZWFyPjxS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</w:fldData>
        </w:fldChar>
      </w:r>
      <w:r w:rsidR="00E968A4">
        <w:rPr>
          <w:lang w:val="en-GB"/>
        </w:rPr>
        <w:instrText xml:space="preserve"> ADDIN EN.CITE </w:instrText>
      </w:r>
      <w:r w:rsidR="001D3206">
        <w:rPr>
          <w:lang w:val="en-GB"/>
        </w:rPr>
        <w:fldChar w:fldCharType="begin">
          <w:fldData xml:space="preserve">PEVuZE5vdGU+PENpdGU+PEF1dGhvcj5NYXJtb3Q8L0F1dGhvcj48WWVhcj4yMDEyPC9ZZWFyPjxS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</w:fldData>
        </w:fldChar>
      </w:r>
      <w:r w:rsidR="00E968A4">
        <w:rPr>
          <w:lang w:val="en-GB"/>
        </w:rPr>
        <w:instrText xml:space="preserve"> ADDIN EN.CITE.DATA </w:instrText>
      </w:r>
      <w:r w:rsidR="001D3206">
        <w:rPr>
          <w:lang w:val="en-GB"/>
        </w:rPr>
      </w:r>
      <w:r w:rsidR="001D3206">
        <w:rPr>
          <w:lang w:val="en-GB"/>
        </w:rPr>
        <w:fldChar w:fldCharType="end"/>
      </w:r>
      <w:r w:rsidR="001D3206">
        <w:rPr>
          <w:lang w:val="en-GB"/>
        </w:rPr>
      </w:r>
      <w:r w:rsidR="001D3206">
        <w:rPr>
          <w:lang w:val="en-GB"/>
        </w:rPr>
        <w:fldChar w:fldCharType="separate"/>
      </w:r>
      <w:r w:rsidR="00E968A4" w:rsidRPr="00E968A4">
        <w:rPr>
          <w:noProof/>
          <w:vertAlign w:val="superscript"/>
          <w:lang w:val="en-GB"/>
        </w:rPr>
        <w:t>76</w:t>
      </w:r>
      <w:r w:rsidR="001D3206">
        <w:rPr>
          <w:lang w:val="en-GB"/>
        </w:rPr>
        <w:fldChar w:fldCharType="end"/>
      </w:r>
    </w:p>
    <w:p w:rsidR="00436563" w:rsidRPr="00493A70" w:rsidRDefault="00436563">
      <w:pPr>
        <w:pStyle w:val="Kop2"/>
        <w:rPr>
          <w:lang w:val="en-GB"/>
        </w:rPr>
      </w:pPr>
      <w:r w:rsidRPr="00493A70">
        <w:rPr>
          <w:lang w:val="en-GB"/>
        </w:rPr>
        <w:t>Conclusions</w:t>
      </w:r>
    </w:p>
    <w:p w:rsidR="00436563" w:rsidRPr="00493A70" w:rsidRDefault="00436563" w:rsidP="003C7488">
      <w:pPr>
        <w:pStyle w:val="Plattetekst"/>
        <w:rPr>
          <w:lang w:val="en-GB"/>
        </w:rPr>
      </w:pPr>
      <w:r w:rsidRPr="00493A70">
        <w:rPr>
          <w:lang w:val="en-GB"/>
        </w:rPr>
        <w:t xml:space="preserve">The political history of Europe has left deep traces in current population health. The failure of the communist system to foster economic growth and to implement effective health policies in the 1970s and 1980s and its disruptive transition to a capitalist economy in the 1990s have been a disaster for population health. Fortunately, many countries, particularly those oriented towards the European Union, have been catching up quickly in recent years, but it will take many more years and considerable efforts in health policy to close the gap.  </w:t>
      </w:r>
    </w:p>
    <w:p w:rsidR="00436563" w:rsidRDefault="00436563" w:rsidP="00837955">
      <w:pPr>
        <w:pStyle w:val="Plattetekst"/>
        <w:rPr>
          <w:lang w:val="en-GB"/>
        </w:rPr>
      </w:pPr>
      <w:r w:rsidRPr="00493A70">
        <w:rPr>
          <w:lang w:val="en-GB"/>
        </w:rPr>
        <w:t xml:space="preserve">In Western Europe, developments have been more favourable, partly because of the implementation of effective health policies. Even there, however, there have been remarkable differences between countries, with some countries doing better and others worse, leaving considerable room for further population health gain. The latter will also </w:t>
      </w:r>
      <w:r w:rsidRPr="00493A70">
        <w:rPr>
          <w:lang w:val="en-GB"/>
        </w:rPr>
        <w:lastRenderedPageBreak/>
        <w:t>require strengthening of policy in areas that currently are only weakly developed, such as food. Important challenges remain, not only for the improvement of average population health but also for the reduction of health inequalities within populations.</w:t>
      </w:r>
    </w:p>
    <w:p w:rsidR="00436563" w:rsidRDefault="00436563" w:rsidP="00837955">
      <w:pPr>
        <w:pStyle w:val="Plattetekst"/>
        <w:rPr>
          <w:lang w:val="en-GB"/>
        </w:rPr>
      </w:pPr>
    </w:p>
    <w:p w:rsidR="00436563" w:rsidRDefault="00436563" w:rsidP="00837955">
      <w:pPr>
        <w:pStyle w:val="Plattetekst"/>
        <w:rPr>
          <w:lang w:val="en-GB"/>
        </w:rPr>
      </w:pPr>
      <w:r>
        <w:rPr>
          <w:lang w:val="en-GB"/>
        </w:rPr>
        <w:t>Contributors: JM and MM drafted the paper jointly. MK undertook the data analysis. All authors revised the paper.</w:t>
      </w:r>
    </w:p>
    <w:p w:rsidR="00436563" w:rsidRDefault="00436563" w:rsidP="00837955">
      <w:pPr>
        <w:pStyle w:val="Plattetekst"/>
        <w:rPr>
          <w:lang w:val="en-GB"/>
        </w:rPr>
      </w:pPr>
      <w:r>
        <w:rPr>
          <w:lang w:val="en-GB"/>
        </w:rPr>
        <w:t xml:space="preserve">Acknowledgement: This paper was drafted during a residency at the Rockefeller Foundation in Bellagio, Italy and draws extensively on the work undertaken during the residency, to be published as a book in late 2012. This series was supported by the European Observatory on Health Systems and Policies. </w:t>
      </w:r>
    </w:p>
    <w:p w:rsidR="00436563" w:rsidRDefault="00436563">
      <w:pPr>
        <w:spacing w:after="200" w:line="276" w:lineRule="auto"/>
        <w:rPr>
          <w:lang w:val="en-GB"/>
        </w:rPr>
      </w:pPr>
      <w:r>
        <w:rPr>
          <w:lang w:val="en-GB"/>
        </w:rPr>
        <w:br w:type="page"/>
      </w:r>
    </w:p>
    <w:p w:rsidR="00436563" w:rsidRPr="00E22FB8" w:rsidRDefault="006111B8" w:rsidP="00837955">
      <w:pPr>
        <w:pStyle w:val="Plattetekst"/>
        <w:rPr>
          <w:b/>
          <w:lang w:val="en-GB"/>
        </w:rPr>
      </w:pPr>
      <w:r w:rsidRPr="006111B8">
        <w:rPr>
          <w:b/>
          <w:lang w:val="en-GB"/>
        </w:rPr>
        <w:lastRenderedPageBreak/>
        <w:t>Box 1</w:t>
      </w:r>
      <w:r w:rsidRPr="006111B8">
        <w:rPr>
          <w:b/>
          <w:lang w:val="en-GB"/>
        </w:rPr>
        <w:tab/>
        <w:t>Europe: more than a geographical expression?</w:t>
      </w:r>
    </w:p>
    <w:p w:rsidR="00436563" w:rsidRDefault="00436563" w:rsidP="00CF52FE">
      <w:pPr>
        <w:pStyle w:val="Plattetekst"/>
        <w:rPr>
          <w:lang w:val="en-GB"/>
        </w:rPr>
      </w:pPr>
      <w:r w:rsidRPr="00493A70">
        <w:rPr>
          <w:lang w:val="en-GB"/>
        </w:rPr>
        <w:t xml:space="preserve">Europe is part of the Eurasian land mass, with the border with Asia a question of culture and history as much as of physical geography – a fact noted by Metternich who pejoratively suggested that Asia began on the outskirts of Vienna. </w:t>
      </w:r>
      <w:r w:rsidR="001D3206">
        <w:rPr>
          <w:lang w:val="en-GB"/>
        </w:rPr>
        <w:fldChar w:fldCharType="begin"/>
      </w:r>
      <w:r w:rsidR="00E968A4">
        <w:rPr>
          <w:lang w:val="en-GB"/>
        </w:rPr>
        <w:instrText xml:space="preserve"> ADDIN EN.CITE &lt;EndNote&gt;&lt;Cite&gt;&lt;Author&gt;Delanty&lt;/Author&gt;&lt;Year&gt;1995&lt;/Year&gt;&lt;RecNum&gt;1&lt;/RecNum&gt;&lt;record&gt;&lt;rec-number&gt;1&lt;/rec-number&gt;&lt;foreign-keys&gt;&lt;key app="EN" db-id="tss0rdex3zvparert03vs0prx5pspz50ftd5"&gt;1&lt;/key&gt;&lt;/foreign-keys&gt;&lt;ref-type name="Book"&gt;6&lt;/ref-type&gt;&lt;contributors&gt;&lt;authors&gt;&lt;author&gt;Delanty, Gerard&lt;/author&gt;&lt;/authors&gt;&lt;/contributors&gt;&lt;titles&gt;&lt;title&gt;Inventing Europe : idea, identity, reality&lt;/title&gt;&lt;/titles&gt;&lt;keywords&gt;&lt;keyword&gt;Nationalism Europe.&lt;/keyword&gt;&lt;keyword&gt;Ethnicity Europe.&lt;/keyword&gt;&lt;keyword&gt;Europe Politics and government.&lt;/keyword&gt;&lt;/keywords&gt;&lt;dates&gt;&lt;year&gt;1995&lt;/year&gt;&lt;/dates&gt;&lt;pub-location&gt;Basingstoke&lt;/pub-location&gt;&lt;publisher&gt;Macmillan&lt;/publisher&gt;&lt;isbn&gt;0333622022 (cased) : ¹40.00&amp;#xD;0333622030 (pbk) : No price&lt;/isbn&gt;&lt;accession-num&gt;b9719005&lt;/accession-num&gt;&lt;call-num&gt;306.2094 21&amp;#xD;British Library DSC 95/31454&amp;#xD;British Library HMNTS YC.1997.a.1612&lt;/call-num&gt;&lt;urls&gt;&lt;/urls&gt;&lt;/record&gt;&lt;/Cite&gt;&lt;/EndNote&gt;</w:instrText>
      </w:r>
      <w:r w:rsidR="001D3206">
        <w:rPr>
          <w:lang w:val="en-GB"/>
        </w:rPr>
        <w:fldChar w:fldCharType="separate"/>
      </w:r>
      <w:r w:rsidR="00E968A4" w:rsidRPr="00E968A4">
        <w:rPr>
          <w:noProof/>
          <w:vertAlign w:val="superscript"/>
          <w:lang w:val="en-GB"/>
        </w:rPr>
        <w:t>77</w:t>
      </w:r>
      <w:r w:rsidR="001D3206">
        <w:rPr>
          <w:lang w:val="en-GB"/>
        </w:rPr>
        <w:fldChar w:fldCharType="end"/>
      </w:r>
      <w:r w:rsidRPr="00493A70">
        <w:rPr>
          <w:lang w:val="en-GB"/>
        </w:rPr>
        <w:t xml:space="preserve"> Two partly European countries, Turkey and Russia, have the largest parts of their land masses in Asia, and both draw on cultural traditions from east and west. </w:t>
      </w:r>
      <w:r w:rsidR="001D3206">
        <w:rPr>
          <w:lang w:val="en-GB"/>
        </w:rPr>
        <w:fldChar w:fldCharType="begin"/>
      </w:r>
      <w:r w:rsidR="009679B5">
        <w:rPr>
          <w:lang w:val="en-GB"/>
        </w:rPr>
        <w:instrText xml:space="preserve"> ADDIN EN.CITE &lt;EndNote&gt;&lt;Cite&gt;&lt;Author&gt;Kösebalaban&lt;/Author&gt;&lt;Year&gt;2007&lt;/Year&gt;&lt;RecNum&gt;6&lt;/RecNum&gt;&lt;DisplayText&gt;[72, 73]&lt;/DisplayText&gt;&lt;record&gt;&lt;rec-number&gt;6&lt;/rec-number&gt;&lt;foreign-keys&gt;&lt;key app="EN" db-id="x0x5v9tejav5faewxt4xwrd5aav2xredt5zf"&gt;6&lt;/key&gt;&lt;/foreign-keys&gt;&lt;ref-type name="Journal Article"&gt;17&lt;/ref-type&gt;&lt;contributors&gt;&lt;authors&gt;&lt;author&gt;Kösebalaban, Hasan&lt;/author&gt;&lt;/authors&gt;&lt;/contributors&gt;&lt;titles&gt;&lt;title&gt;The Permanent “Other”? Turkey and the Question of European Identity&lt;/title&gt;&lt;secondary-title&gt;Mediterranean Quarterly&lt;/secondary-title&gt;&lt;/titles&gt;&lt;pages&gt;87-111&lt;/pages&gt;&lt;volume&gt;18&lt;/volume&gt;&lt;number&gt;4&lt;/number&gt;&lt;dates&gt;&lt;year&gt;2007&lt;/year&gt;&lt;/dates&gt;&lt;urls&gt;&lt;/urls&gt;&lt;/record&gt;&lt;/Cite&gt;&lt;Cite&gt;&lt;Author&gt;Figes&lt;/Author&gt;&lt;Year&gt;2002&lt;/Year&gt;&lt;RecNum&gt;5&lt;/RecNum&gt;&lt;record&gt;&lt;rec-number&gt;5&lt;/rec-number&gt;&lt;foreign-keys&gt;&lt;key app="EN" db-id="x0x5v9tejav5faewxt4xwrd5aav2xredt5zf"&gt;5&lt;/key&gt;&lt;/foreign-keys&gt;&lt;ref-type name="Book"&gt;6&lt;/ref-type&gt;&lt;contributors&gt;&lt;authors&gt;&lt;author&gt;Figes, Orlando&lt;/author&gt;&lt;/authors&gt;&lt;/contributors&gt;&lt;titles&gt;&lt;title&gt;Natasha&amp;apos;s dance : a cultural history of Russia&lt;/title&gt;&lt;/titles&gt;&lt;keywords&gt;&lt;keyword&gt;Russia Civilization.&lt;/keyword&gt;&lt;/keywords&gt;&lt;dates&gt;&lt;year&gt;2002&lt;/year&gt;&lt;/dates&gt;&lt;pub-location&gt;London&lt;/pub-location&gt;&lt;publisher&gt;Allen Lane&lt;/publisher&gt;&lt;isbn&gt;0713995173 : ¹25.00&lt;/isbn&gt;&lt;accession-num&gt;bA2V7847&lt;/accession-num&gt;&lt;call-num&gt;947 21&amp;#xD;British Library DSC m02/39780&amp;#xD;British Library HMNTS YC.2002.a.15342&lt;/call-num&gt;&lt;urls&gt;&lt;/urls&gt;&lt;/record&gt;&lt;/Cite&gt;&lt;/EndNote&gt;</w:instrText>
      </w:r>
      <w:r w:rsidR="001D3206">
        <w:rPr>
          <w:lang w:val="en-GB"/>
        </w:rPr>
        <w:fldChar w:fldCharType="separate"/>
      </w:r>
      <w:r w:rsidR="00E968A4" w:rsidRPr="00E968A4">
        <w:rPr>
          <w:noProof/>
          <w:vertAlign w:val="superscript"/>
          <w:lang w:val="en-GB"/>
        </w:rPr>
        <w:t>78-79</w:t>
      </w:r>
      <w:r w:rsidR="001D3206">
        <w:rPr>
          <w:lang w:val="en-GB"/>
        </w:rPr>
        <w:fldChar w:fldCharType="end"/>
      </w:r>
      <w:r w:rsidRPr="00493A70">
        <w:rPr>
          <w:lang w:val="en-GB"/>
        </w:rPr>
        <w:t xml:space="preserve"> The European region of the World Health Organisation stretches from western Greenland to Vladivostok and includes a number of countries that are unambiguously in Asia, such as Kazakhstan, Uzbekistan, Kyrgyzstan, Tajikistan, Turkmenistan, and Israel. </w:t>
      </w:r>
      <w:r>
        <w:rPr>
          <w:lang w:val="en-GB"/>
        </w:rPr>
        <w:t xml:space="preserve">The European Union extends across the globe, with the Spanish enclaves of Ceuta and Melilla on the north coast of Africa, French and Dutch departments and provinces in the Caribbean and, in the case of French Guiana, on the South American mainland, and other French departments in the Indian Ocean. </w:t>
      </w:r>
    </w:p>
    <w:p w:rsidR="00436563" w:rsidRDefault="00436563" w:rsidP="00CF52FE">
      <w:pPr>
        <w:pStyle w:val="Plattetekst"/>
        <w:rPr>
          <w:lang w:val="en-GB"/>
        </w:rPr>
      </w:pPr>
      <w:r>
        <w:rPr>
          <w:lang w:val="en-GB"/>
        </w:rPr>
        <w:t xml:space="preserve">Geographical complications also exist within mainland Europe as a consequence of </w:t>
      </w:r>
      <w:r w:rsidRPr="00493A70">
        <w:rPr>
          <w:lang w:val="en-GB"/>
        </w:rPr>
        <w:t xml:space="preserve">changing borders. </w:t>
      </w:r>
      <w:r>
        <w:rPr>
          <w:lang w:val="en-GB"/>
        </w:rPr>
        <w:t xml:space="preserve">The collapse of the </w:t>
      </w:r>
      <w:r w:rsidRPr="00493A70">
        <w:rPr>
          <w:lang w:val="en-GB"/>
        </w:rPr>
        <w:t>communist bloc</w:t>
      </w:r>
      <w:r>
        <w:rPr>
          <w:lang w:val="en-GB"/>
        </w:rPr>
        <w:t xml:space="preserve"> in the 1990s reshaped the map of Europe. </w:t>
      </w:r>
      <w:r w:rsidRPr="00493A70">
        <w:rPr>
          <w:lang w:val="en-GB"/>
        </w:rPr>
        <w:t xml:space="preserve">New countries were formed, with the two parts of Germany reunited and the two parts of Czechoslovakia dividing. Two of the most multi-ethnic states, the Soviet Union and Yugoslavia, broke up into their constituent republics, a process that may not yet have reached its conclusion given the still contested status of entities such as Kosovo, Trans-Dniester and a number of other autonomous enclaves in the former Soviet Union. </w:t>
      </w:r>
      <w:r w:rsidR="001D3206">
        <w:rPr>
          <w:lang w:val="en-GB"/>
        </w:rPr>
        <w:fldChar w:fldCharType="begin"/>
      </w:r>
      <w:r w:rsidR="009679B5">
        <w:rPr>
          <w:lang w:val="en-GB"/>
        </w:rPr>
        <w:instrText xml:space="preserve"> ADDIN EN.CITE &lt;EndNote&gt;&lt;Cite&gt;&lt;Author&gt;McKee&lt;/Author&gt;&lt;Year&gt;2006&lt;/Year&gt;&lt;RecNum&gt;54&lt;/RecNum&gt;&lt;DisplayText&gt;[74]&lt;/DisplayText&gt;&lt;record&gt;&lt;rec-number&gt;54&lt;/rec-number&gt;&lt;foreign-keys&gt;&lt;key app="EN" db-id="x0x5v9tejav5faewxt4xwrd5aav2xredt5zf"&gt;54&lt;/key&gt;&lt;/foreign-keys&gt;&lt;ref-type name="Journal Article"&gt;17&lt;/ref-type&gt;&lt;contributors&gt;&lt;authors&gt;&lt;author&gt;McKee, M.&lt;/author&gt;&lt;author&gt;Atun, R.&lt;/author&gt;&lt;/authors&gt;&lt;/contributors&gt;&lt;auth-address&gt;London School of Hygiene and Tropical Medicine, London WCIE 7HT, UK. martin.mckee@lshtm.ac.uk&lt;/auth-address&gt;&lt;titles&gt;&lt;title&gt;Beyond borders: public-health surveillance&lt;/title&gt;&lt;secondary-title&gt;Lancet&lt;/secondary-title&gt;&lt;/titles&gt;&lt;periodical&gt;&lt;full-title&gt;Lancet&lt;/full-title&gt;&lt;abbr-1&gt;Lancet&lt;/abbr-1&gt;&lt;/periodical&gt;&lt;pages&gt;1224-6&lt;/pages&gt;&lt;volume&gt;367&lt;/volume&gt;&lt;number&gt;9518&lt;/number&gt;&lt;edition&gt;2006/04/25&lt;/edition&gt;&lt;keywords&gt;&lt;keyword&gt;Animals&lt;/keyword&gt;&lt;keyword&gt;Humans&lt;/keyword&gt;&lt;keyword&gt;*International Cooperation&lt;/keyword&gt;&lt;keyword&gt;Population Surveillance/*methods&lt;/keyword&gt;&lt;keyword&gt;*Public Health&lt;/keyword&gt;&lt;/keywords&gt;&lt;dates&gt;&lt;year&gt;2006&lt;/year&gt;&lt;pub-dates&gt;&lt;date&gt;Apr 15&lt;/date&gt;&lt;/pub-dates&gt;&lt;/dates&gt;&lt;isbn&gt;1474-547X (Electronic)&amp;#xD;0140-6736 (Linking)&lt;/isbn&gt;&lt;accession-num&gt;16631865&lt;/accession-num&gt;&lt;urls&gt;&lt;related-urls&gt;&lt;url&gt;http://www.ncbi.nlm.nih.gov/entrez/query.fcgi?cmd=Retrieve&amp;amp;db=PubMed&amp;amp;dopt=Citation&amp;amp;list_uids=16631865&lt;/url&gt;&lt;/related-urls&gt;&lt;/urls&gt;&lt;electronic-resource-num&gt;S0140-6736(06)68520-6 [pii]&amp;#xD;10.1016/S0140-6736(06)68520-6&lt;/electronic-resource-num&gt;&lt;language&gt;eng&lt;/language&gt;&lt;/record&gt;&lt;/Cite&gt;&lt;/EndNote&gt;</w:instrText>
      </w:r>
      <w:r w:rsidR="001D3206">
        <w:rPr>
          <w:lang w:val="en-GB"/>
        </w:rPr>
        <w:fldChar w:fldCharType="separate"/>
      </w:r>
      <w:r w:rsidR="00E968A4" w:rsidRPr="00E968A4">
        <w:rPr>
          <w:noProof/>
          <w:vertAlign w:val="superscript"/>
          <w:lang w:val="en-GB"/>
        </w:rPr>
        <w:t>80</w:t>
      </w:r>
      <w:r w:rsidR="001D3206">
        <w:rPr>
          <w:lang w:val="en-GB"/>
        </w:rPr>
        <w:fldChar w:fldCharType="end"/>
      </w:r>
      <w:r w:rsidRPr="00493A70">
        <w:rPr>
          <w:lang w:val="en-GB"/>
        </w:rPr>
        <w:t xml:space="preserve"> But it is not just the location of borders that is changing, it is also their nature. National borders have all but disappeared within most of the European Union, with the creation of the Schengen Zone within which people may travel without hindrance. This has, however, been achieved by reinforcing the European Union’s external borders, creating what has been termed “fortress Europe”,</w:t>
      </w:r>
      <w:r w:rsidR="001D3206">
        <w:rPr>
          <w:lang w:val="en-GB"/>
        </w:rPr>
        <w:fldChar w:fldCharType="begin"/>
      </w:r>
      <w:r w:rsidR="009679B5">
        <w:rPr>
          <w:lang w:val="en-GB"/>
        </w:rPr>
        <w:instrText xml:space="preserve"> ADDIN EN.CITE &lt;EndNote&gt;&lt;Cite&gt;&lt;Author&gt;Albrecht&lt;/Author&gt;&lt;Year&gt;2002&lt;/Year&gt;&lt;RecNum&gt;55&lt;/RecNum&gt;&lt;DisplayText&gt;[75]&lt;/DisplayText&gt;&lt;record&gt;&lt;rec-number&gt;55&lt;/rec-number&gt;&lt;foreign-keys&gt;&lt;key app="EN" db-id="x0x5v9tejav5faewxt4xwrd5aav2xredt5zf"&gt;55&lt;/key&gt;&lt;/foreign-keys&gt;&lt;ref-type name="Journal Article"&gt;17&lt;/ref-type&gt;&lt;contributors&gt;&lt;authors&gt;&lt;author&gt;Albrecht, Hans-Jorg &lt;/author&gt;&lt;/authors&gt;&lt;/contributors&gt;&lt;titles&gt;&lt;title&gt;Fortress Europe - Controlling Illegal Immigration&lt;/title&gt;&lt;secondary-title&gt;European Journal of Crime, Criminal Law, and Criminal Justice&lt;/secondary-title&gt;&lt;/titles&gt;&lt;pages&gt;1-22&lt;/pages&gt;&lt;volume&gt;10 &lt;/volume&gt;&lt;dates&gt;&lt;year&gt;2002&lt;/year&gt;&lt;/dates&gt;&lt;urls&gt;&lt;/urls&gt;&lt;/record&gt;&lt;/Cite&gt;&lt;/EndNote&gt;</w:instrText>
      </w:r>
      <w:r w:rsidR="001D3206">
        <w:rPr>
          <w:lang w:val="en-GB"/>
        </w:rPr>
        <w:fldChar w:fldCharType="separate"/>
      </w:r>
      <w:r w:rsidR="00E968A4" w:rsidRPr="00E968A4">
        <w:rPr>
          <w:noProof/>
          <w:vertAlign w:val="superscript"/>
          <w:lang w:val="en-GB"/>
        </w:rPr>
        <w:t>81</w:t>
      </w:r>
      <w:r w:rsidR="001D3206">
        <w:rPr>
          <w:lang w:val="en-GB"/>
        </w:rPr>
        <w:fldChar w:fldCharType="end"/>
      </w:r>
      <w:r w:rsidRPr="00493A70">
        <w:rPr>
          <w:lang w:val="en-GB"/>
        </w:rPr>
        <w:t xml:space="preserve"> designed to keep out those who lack the skills or resources that Europe needs. In some cases, as in the former Soviet Union and Yugoslavia, countries that were once united have even had to erect frontier posts.</w:t>
      </w:r>
    </w:p>
    <w:p w:rsidR="00436563" w:rsidRDefault="00436563" w:rsidP="00CF52FE">
      <w:pPr>
        <w:pStyle w:val="Plattetekst"/>
        <w:rPr>
          <w:lang w:val="en-GB"/>
        </w:rPr>
      </w:pPr>
      <w:r>
        <w:rPr>
          <w:lang w:val="en-GB"/>
        </w:rPr>
        <w:t xml:space="preserve">Defining national groupings within Europe often gives rise to confusion. For example, the European Union comprises 27 member states, soon to be 28 with the accession of Croatia in 2013. However, it excludes several smaller states within its borders (Monaco, San Marino, Andorra and Liechtenstein) and some larger nearby ones (Iceland, Switzerland and Norway), all of which are, to greater or lesser degrees, closely linked to it functionally. The smaller states within the borders of the EU all use the euro as their currency and Norway enacts European Union laws as if it was a member, in some cases faster than the actual member states. All are members of the open border Schengen agreement, in contrast to the United Kingdom and Ireland. As all these countries share many common features, it makes sense to group them together, but an adequate term for this cluster of countries does not exist (the European Economic Area, while wider than the European Union, only includes three of these non-member states). Also, the term </w:t>
      </w:r>
      <w:r w:rsidR="00756E81">
        <w:rPr>
          <w:lang w:val="en-GB"/>
        </w:rPr>
        <w:t>c</w:t>
      </w:r>
      <w:r>
        <w:rPr>
          <w:lang w:val="en-GB"/>
        </w:rPr>
        <w:t xml:space="preserve">entral and </w:t>
      </w:r>
      <w:r w:rsidR="00756E81">
        <w:rPr>
          <w:lang w:val="en-GB"/>
        </w:rPr>
        <w:t>e</w:t>
      </w:r>
      <w:r>
        <w:rPr>
          <w:lang w:val="en-GB"/>
        </w:rPr>
        <w:t xml:space="preserve">astern Europe usually includes all those former communist countries that were not part of the USSR, but strictly speaking many former Soviet republics are </w:t>
      </w:r>
      <w:r w:rsidR="00756E81">
        <w:rPr>
          <w:lang w:val="en-GB"/>
        </w:rPr>
        <w:t xml:space="preserve">also </w:t>
      </w:r>
      <w:r>
        <w:rPr>
          <w:lang w:val="en-GB"/>
        </w:rPr>
        <w:t xml:space="preserve">part of </w:t>
      </w:r>
      <w:r w:rsidR="00756E81">
        <w:rPr>
          <w:lang w:val="en-GB"/>
        </w:rPr>
        <w:t>e</w:t>
      </w:r>
      <w:r>
        <w:rPr>
          <w:lang w:val="en-GB"/>
        </w:rPr>
        <w:t xml:space="preserve">astern Europe. According to customary usage, prior to German unification the German Democratic Republic was in </w:t>
      </w:r>
      <w:r w:rsidR="00756E81">
        <w:rPr>
          <w:lang w:val="en-GB"/>
        </w:rPr>
        <w:t>c</w:t>
      </w:r>
      <w:r>
        <w:rPr>
          <w:lang w:val="en-GB"/>
        </w:rPr>
        <w:t xml:space="preserve">entral and </w:t>
      </w:r>
      <w:r w:rsidR="00756E81">
        <w:rPr>
          <w:lang w:val="en-GB"/>
        </w:rPr>
        <w:t>e</w:t>
      </w:r>
      <w:r>
        <w:rPr>
          <w:lang w:val="en-GB"/>
        </w:rPr>
        <w:t xml:space="preserve">astern Europe, but </w:t>
      </w:r>
      <w:r w:rsidR="00756E81">
        <w:rPr>
          <w:lang w:val="en-GB"/>
        </w:rPr>
        <w:t>it is now part of western Europe</w:t>
      </w:r>
      <w:r>
        <w:rPr>
          <w:lang w:val="en-GB"/>
        </w:rPr>
        <w:t xml:space="preserve">. </w:t>
      </w:r>
    </w:p>
    <w:p w:rsidR="00436563" w:rsidRDefault="00436563" w:rsidP="00CF52FE">
      <w:pPr>
        <w:pStyle w:val="Plattetekst"/>
        <w:rPr>
          <w:lang w:val="en-GB"/>
        </w:rPr>
      </w:pPr>
      <w:r>
        <w:rPr>
          <w:lang w:val="en-GB"/>
        </w:rPr>
        <w:t xml:space="preserve">A similar problem arises with the countries that have emerged from the USSR. Originally referred to as by the WHO and others as the “Newly Independent States”, this term seems inappropriate 21 years after they achieved independence. The term “former Soviet Union” strictly includes the three Baltic States that are now part of the European Union. The </w:t>
      </w:r>
      <w:r>
        <w:rPr>
          <w:lang w:val="en-GB"/>
        </w:rPr>
        <w:lastRenderedPageBreak/>
        <w:t xml:space="preserve">Commonwealth of Independent States was created to link the remaining twelve former Soviet Republics, but one, Georgia, is not a member. Thus, when the term Commonwealth of Independent States is used this is often done on the tacit understanding that it also includes Georgia. </w:t>
      </w:r>
    </w:p>
    <w:p w:rsidR="00436563" w:rsidRDefault="00436563" w:rsidP="00CF52FE">
      <w:pPr>
        <w:pStyle w:val="Plattetekst"/>
        <w:rPr>
          <w:lang w:val="en-GB"/>
        </w:rPr>
      </w:pPr>
    </w:p>
    <w:p w:rsidR="00436563" w:rsidRPr="00E22FB8" w:rsidRDefault="006111B8" w:rsidP="00CF52FE">
      <w:pPr>
        <w:pStyle w:val="Plattetekst"/>
        <w:rPr>
          <w:b/>
          <w:lang w:val="en-GB"/>
        </w:rPr>
      </w:pPr>
      <w:r w:rsidRPr="006111B8">
        <w:rPr>
          <w:b/>
          <w:lang w:val="en-GB"/>
        </w:rPr>
        <w:t>Box 2 Sources of morbidity data</w:t>
      </w:r>
    </w:p>
    <w:p w:rsidR="00436563" w:rsidRDefault="00436563" w:rsidP="00CF52FE">
      <w:pPr>
        <w:pStyle w:val="Plattetekst"/>
        <w:rPr>
          <w:lang w:val="en-GB"/>
        </w:rPr>
      </w:pPr>
      <w:r>
        <w:rPr>
          <w:lang w:val="en-GB"/>
        </w:rPr>
        <w:t>Unlike the USA, which has undertaken regular nationwide health interview and examination surveys for many years, the European Union is only beginning this process and, where data exist, they provide incomplete coverage. Perhaps the best known example is the network of European cancer registries, which in a series of specific research projects (EUROCARE) have done much to harmonise data collection.</w:t>
      </w:r>
      <w:r w:rsidR="001D3206">
        <w:rPr>
          <w:lang w:val="en-GB"/>
        </w:rPr>
        <w:fldChar w:fldCharType="begin"/>
      </w:r>
      <w:r w:rsidR="00E968A4">
        <w:rPr>
          <w:lang w:val="en-GB"/>
        </w:rPr>
        <w:instrText xml:space="preserve"> ADDIN EN.CITE &lt;EndNote&gt;&lt;Cite&gt;&lt;Author&gt;Berrino&lt;/Author&gt;&lt;Year&gt;2009&lt;/Year&gt;&lt;RecNum&gt;75&lt;/RecNum&gt;&lt;record&gt;&lt;rec-number&gt;75&lt;/rec-number&gt;&lt;foreign-keys&gt;&lt;key app="EN" db-id="tss0rdex3zvparert03vs0prx5pspz50ftd5"&gt;75&lt;/key&gt;&lt;/foreign-keys&gt;&lt;ref-type name="Journal Article"&gt;17&lt;/ref-type&gt;&lt;contributors&gt;&lt;authors&gt;&lt;author&gt;Berrino, F.&lt;/author&gt;&lt;author&gt;Verdecchia, A.&lt;/author&gt;&lt;author&gt;Lutz, J. M.&lt;/author&gt;&lt;author&gt;Lombardo, C.&lt;/author&gt;&lt;author&gt;Micheli, A.&lt;/author&gt;&lt;author&gt;Capocaccia, R.&lt;/author&gt;&lt;/authors&gt;&lt;/contributors&gt;&lt;titles&gt;&lt;title&gt;Comparative cancer survival information in Europe&lt;/title&gt;&lt;secondary-title&gt;Eur J Cancer&lt;/secondary-title&gt;&lt;/titles&gt;&lt;periodical&gt;&lt;full-title&gt;Eur J Cancer&lt;/full-title&gt;&lt;/periodical&gt;&lt;pages&gt;901-8&lt;/pages&gt;&lt;volume&gt;45&lt;/volume&gt;&lt;number&gt;6&lt;/number&gt;&lt;edition&gt;2009/02/17&lt;/edition&gt;&lt;keywords&gt;&lt;keyword&gt;Europe/epidemiology&lt;/keyword&gt;&lt;keyword&gt;Female&lt;/keyword&gt;&lt;keyword&gt;Health Policy&lt;/keyword&gt;&lt;keyword&gt;Humans&lt;/keyword&gt;&lt;keyword&gt;Male&lt;/keyword&gt;&lt;keyword&gt;Neoplasms/*mortality&lt;/keyword&gt;&lt;keyword&gt;Publications/statistics &amp;amp; numerical data&lt;/keyword&gt;&lt;keyword&gt;Survival Analysis&lt;/keyword&gt;&lt;/keywords&gt;&lt;dates&gt;&lt;year&gt;2009&lt;/year&gt;&lt;pub-dates&gt;&lt;date&gt;Apr&lt;/date&gt;&lt;/pub-dates&gt;&lt;/dates&gt;&lt;isbn&gt;1879-0852 (Electronic)&amp;#xD;0959-8049 (Linking)&lt;/isbn&gt;&lt;accession-num&gt;19217771&lt;/accession-num&gt;&lt;urls&gt;&lt;related-urls&gt;&lt;url&gt;http://www.ncbi.nlm.nih.gov/entrez/query.fcgi?cmd=Retrieve&amp;amp;db=PubMed&amp;amp;dopt=Citation&amp;amp;list_uids=19217771&lt;/url&gt;&lt;/related-urls&gt;&lt;/urls&gt;&lt;electronic-resource-num&gt;S0959-8049(09)00009-4 [pii]&amp;#xD;10.1016/j.ejca.2009.01.018&lt;/electronic-resource-num&gt;&lt;language&gt;eng&lt;/language&gt;&lt;/record&gt;&lt;/Cite&gt;&lt;/EndNote&gt;</w:instrText>
      </w:r>
      <w:r w:rsidR="001D3206">
        <w:rPr>
          <w:lang w:val="en-GB"/>
        </w:rPr>
        <w:fldChar w:fldCharType="separate"/>
      </w:r>
      <w:r w:rsidR="00E968A4" w:rsidRPr="00E968A4">
        <w:rPr>
          <w:noProof/>
          <w:vertAlign w:val="superscript"/>
          <w:lang w:val="en-GB"/>
        </w:rPr>
        <w:t>82</w:t>
      </w:r>
      <w:r w:rsidR="001D3206">
        <w:rPr>
          <w:lang w:val="en-GB"/>
        </w:rPr>
        <w:fldChar w:fldCharType="end"/>
      </w:r>
      <w:r>
        <w:rPr>
          <w:lang w:val="en-GB"/>
        </w:rPr>
        <w:t xml:space="preserve"> However, not all countries are included (e.g. Luxembourg and Hungary do not participate) and even in some participating countries (e.g. France, Spain and Italy). Research using the EUROCARE data has exposed wide variations in outcomes </w:t>
      </w:r>
      <w:r w:rsidR="001D3206">
        <w:rPr>
          <w:lang w:val="en-GB"/>
        </w:rPr>
        <w:fldChar w:fldCharType="begin"/>
      </w:r>
      <w:r w:rsidR="00E968A4">
        <w:rPr>
          <w:lang w:val="en-GB"/>
        </w:rPr>
        <w:instrText xml:space="preserve"> ADDIN EN.CITE &lt;EndNote&gt;&lt;Cite&gt;&lt;Author&gt;Brenner&lt;/Author&gt;&lt;Year&gt;2012&lt;/Year&gt;&lt;RecNum&gt;76&lt;/RecNum&gt;&lt;record&gt;&lt;rec-number&gt;76&lt;/rec-number&gt;&lt;foreign-keys&gt;&lt;key app="EN" db-id="tss0rdex3zvparert03vs0prx5pspz50ftd5"&gt;76&lt;/key&gt;&lt;/foreign-keys&gt;&lt;ref-type name="Journal Article"&gt;17&lt;/ref-type&gt;&lt;contributors&gt;&lt;authors&gt;&lt;author&gt;Brenner, H.&lt;/author&gt;&lt;author&gt;Bouvier, A. M.&lt;/author&gt;&lt;author&gt;Foschi, R.&lt;/author&gt;&lt;author&gt;Hackl, M.&lt;/author&gt;&lt;author&gt;Larsen, I. K.&lt;/author&gt;&lt;author&gt;Lemmens, V.&lt;/author&gt;&lt;author&gt;Mangone, L.&lt;/author&gt;&lt;author&gt;Francisci, S.&lt;/author&gt;&lt;/authors&gt;&lt;/contributors&gt;&lt;auth-address&gt;Division of Clinical Epidemiology and Aging Research, German Cancer Research Center, Heidelberg, Germany. h.brenner@dkfz.de&lt;/auth-address&gt;&lt;titles&gt;&lt;title&gt;Progress in colorectal cancer survival in Europe from the late 1980s to the early 21st century: the EUROCARE study&lt;/title&gt;&lt;secondary-title&gt;Int J Cancer&lt;/secondary-title&gt;&lt;/titles&gt;&lt;periodical&gt;&lt;full-title&gt;Int J Cancer&lt;/full-title&gt;&lt;/periodical&gt;&lt;pages&gt;1649-58&lt;/pages&gt;&lt;volume&gt;131&lt;/volume&gt;&lt;number&gt;7&lt;/number&gt;&lt;edition&gt;2011/05/25&lt;/edition&gt;&lt;dates&gt;&lt;year&gt;2012&lt;/year&gt;&lt;pub-dates&gt;&lt;date&gt;Oct 1&lt;/date&gt;&lt;/pub-dates&gt;&lt;/dates&gt;&lt;isbn&gt;1097-0215 (Electronic)&amp;#xD;0020-7136 (Linking)&lt;/isbn&gt;&lt;accession-num&gt;21607946&lt;/accession-num&gt;&lt;urls&gt;&lt;related-urls&gt;&lt;url&gt;http://www.ncbi.nlm.nih.gov/entrez/query.fcgi?cmd=Retrieve&amp;amp;db=PubMed&amp;amp;dopt=Citation&amp;amp;list_uids=21607946&lt;/url&gt;&lt;/related-urls&gt;&lt;/urls&gt;&lt;electronic-resource-num&gt;10.1002/ijc.26192&lt;/electronic-resource-num&gt;&lt;language&gt;eng&lt;/language&gt;&lt;/record&gt;&lt;/Cite&gt;&lt;/EndNote&gt;</w:instrText>
      </w:r>
      <w:r w:rsidR="001D3206">
        <w:rPr>
          <w:lang w:val="en-GB"/>
        </w:rPr>
        <w:fldChar w:fldCharType="separate"/>
      </w:r>
      <w:r w:rsidR="00E968A4" w:rsidRPr="00E968A4">
        <w:rPr>
          <w:noProof/>
          <w:vertAlign w:val="superscript"/>
          <w:lang w:val="en-GB"/>
        </w:rPr>
        <w:t>83</w:t>
      </w:r>
      <w:r w:rsidR="001D3206">
        <w:rPr>
          <w:lang w:val="en-GB"/>
        </w:rPr>
        <w:fldChar w:fldCharType="end"/>
      </w:r>
      <w:r>
        <w:rPr>
          <w:lang w:val="en-GB"/>
        </w:rPr>
        <w:t xml:space="preserve"> and had a major impact on cancer policy in some countries.</w:t>
      </w:r>
      <w:r w:rsidR="001D3206">
        <w:rPr>
          <w:lang w:val="en-GB"/>
        </w:rPr>
        <w:fldChar w:fldCharType="begin"/>
      </w:r>
      <w:r w:rsidR="00E968A4">
        <w:rPr>
          <w:lang w:val="en-GB"/>
        </w:rPr>
        <w:instrText xml:space="preserve"> ADDIN EN.CITE &lt;EndNote&gt;&lt;Cite&gt;&lt;Author&gt;Richards&lt;/Author&gt;&lt;Year&gt;2009&lt;/Year&gt;&lt;RecNum&gt;77&lt;/RecNum&gt;&lt;record&gt;&lt;rec-number&gt;77&lt;/rec-number&gt;&lt;foreign-keys&gt;&lt;key app="EN" db-id="tss0rdex3zvparert03vs0prx5pspz50ftd5"&gt;77&lt;/key&gt;&lt;/foreign-keys&gt;&lt;ref-type name="Journal Article"&gt;17&lt;/ref-type&gt;&lt;contributors&gt;&lt;authors&gt;&lt;author&gt;Richards, M.&lt;/author&gt;&lt;/authors&gt;&lt;/contributors&gt;&lt;titles&gt;&lt;title&gt;Assessment of the NHS cancer plan in England&lt;/title&gt;&lt;secondary-title&gt;Lancet Oncol&lt;/secondary-title&gt;&lt;/titles&gt;&lt;periodical&gt;&lt;full-title&gt;Lancet Oncol&lt;/full-title&gt;&lt;/periodical&gt;&lt;pages&gt;311&lt;/pages&gt;&lt;volume&gt;10&lt;/volume&gt;&lt;number&gt;4&lt;/number&gt;&lt;edition&gt;2009/03/24&lt;/edition&gt;&lt;keywords&gt;&lt;keyword&gt;Delivery of Health Care/*organization &amp;amp; administration/*trends&lt;/keyword&gt;&lt;keyword&gt;England/epidemiology&lt;/keyword&gt;&lt;keyword&gt;Humans&lt;/keyword&gt;&lt;keyword&gt;National Health Programs/*organization &amp;amp; administration&lt;/keyword&gt;&lt;keyword&gt;Neoplasms/*epidemiology&lt;/keyword&gt;&lt;keyword&gt;Survival Rate&lt;/keyword&gt;&lt;/keywords&gt;&lt;dates&gt;&lt;year&gt;2009&lt;/year&gt;&lt;pub-dates&gt;&lt;date&gt;Apr&lt;/date&gt;&lt;/pub-dates&gt;&lt;/dates&gt;&lt;isbn&gt;1474-5488 (Electronic)&amp;#xD;1470-2045 (Linking)&lt;/isbn&gt;&lt;accession-num&gt;19303814&lt;/accession-num&gt;&lt;urls&gt;&lt;related-urls&gt;&lt;url&gt;http://www.ncbi.nlm.nih.gov/entrez/query.fcgi?cmd=Retrieve&amp;amp;db=PubMed&amp;amp;dopt=Citation&amp;amp;list_uids=19303814&lt;/url&gt;&lt;/related-urls&gt;&lt;/urls&gt;&lt;electronic-resource-num&gt;S1470-2045(09)70086-5 [pii]&amp;#xD;10.1016/S1470-2045(09)70086-5&lt;/electronic-resource-num&gt;&lt;language&gt;eng&lt;/language&gt;&lt;/record&gt;&lt;/Cite&gt;&lt;/EndNote&gt;</w:instrText>
      </w:r>
      <w:r w:rsidR="001D3206">
        <w:rPr>
          <w:lang w:val="en-GB"/>
        </w:rPr>
        <w:fldChar w:fldCharType="separate"/>
      </w:r>
      <w:r w:rsidR="00E968A4" w:rsidRPr="00E968A4">
        <w:rPr>
          <w:noProof/>
          <w:vertAlign w:val="superscript"/>
          <w:lang w:val="en-GB"/>
        </w:rPr>
        <w:t>84</w:t>
      </w:r>
      <w:r w:rsidR="001D3206">
        <w:rPr>
          <w:lang w:val="en-GB"/>
        </w:rPr>
        <w:fldChar w:fldCharType="end"/>
      </w:r>
      <w:r>
        <w:rPr>
          <w:lang w:val="en-GB"/>
        </w:rPr>
        <w:t xml:space="preserve"> Other data are available from a diverse range of health interview and examination surveys, now being co-ordinated to produce core modules that can be compared across Europe. However, there is still considerable work to be done to achieve comprehensive and consistent coverage by the European Health Interview Surveys (EHIS) and the European Health Examination Surveys. EHIS, where progress is more advanced, covers background demographic variables, risk factors, health status, and health care utilisation. Other sources of data include the Survey of Income and Living Conditions in Europe (SILC), but the health content is very limited and many of the questions on potential explanatory variables have changed in recent years and in different countries. Finally, the Survey of Health, Ageing and Retirement in Europe (SHARE) is following up </w:t>
      </w:r>
      <w:r w:rsidRPr="00A847CC">
        <w:rPr>
          <w:lang w:val="en-GB"/>
        </w:rPr>
        <w:t>55,000 individuals aged 50 or over from 20 European countries.</w:t>
      </w:r>
      <w:r>
        <w:rPr>
          <w:lang w:val="en-GB"/>
        </w:rPr>
        <w:t xml:space="preserve"> Despite its limited age-range, this has become an important source of morbidity data because it includes measures of self-reported health problems and disabilities as well as measured functional limitations.</w:t>
      </w:r>
      <w:r w:rsidR="001D3206">
        <w:rPr>
          <w:lang w:val="en-GB"/>
        </w:rPr>
        <w:fldChar w:fldCharType="begin"/>
      </w:r>
      <w:r w:rsidR="00E968A4">
        <w:rPr>
          <w:lang w:val="en-GB"/>
        </w:rPr>
        <w:instrText xml:space="preserve"> ADDIN EN.CITE &lt;EndNote&gt;&lt;Cite&gt;&lt;Author&gt;Börsch-Supan&lt;/Author&gt;&lt;Year&gt;2005&lt;/Year&gt;&lt;RecNum&gt;85&lt;/RecNum&gt;&lt;record&gt;&lt;rec-number&gt;85&lt;/rec-number&gt;&lt;foreign-keys&gt;&lt;key app="EN" db-id="tss0rdex3zvparert03vs0prx5pspz50ftd5"&gt;85&lt;/key&gt;&lt;/foreign-keys&gt;&lt;ref-type name="Book"&gt;6&lt;/ref-type&gt;&lt;contributors&gt;&lt;authors&gt;&lt;author&gt;Börsch-Supan, A.&lt;/author&gt;&lt;author&gt;Brugiavini, A.&lt;/author&gt;&lt;author&gt;Jürges, H.&lt;/author&gt;&lt;author&gt;Mackenbach, J.&lt;/author&gt;&lt;author&gt;Siegrist, J.&lt;/author&gt;&lt;author&gt;Weber, G.&lt;/author&gt;&lt;/authors&gt;&lt;/contributors&gt;&lt;titles&gt;&lt;title&gt;Health, ageing and retirement in Europe – First results from the Survey of Health, Ageing and Retirement in Europe&lt;/title&gt;&lt;/titles&gt;&lt;dates&gt;&lt;year&gt;2005&lt;/year&gt;&lt;/dates&gt;&lt;pub-location&gt;Mannheim&lt;/pub-location&gt;&lt;publisher&gt;Mannheim Research Institute for the Economics of Aging (MEA)&lt;/publisher&gt;&lt;urls&gt;&lt;/urls&gt;&lt;/record&gt;&lt;/Cite&gt;&lt;/EndNote&gt;</w:instrText>
      </w:r>
      <w:r w:rsidR="001D3206">
        <w:rPr>
          <w:lang w:val="en-GB"/>
        </w:rPr>
        <w:fldChar w:fldCharType="separate"/>
      </w:r>
      <w:r w:rsidR="00E968A4" w:rsidRPr="00E968A4">
        <w:rPr>
          <w:noProof/>
          <w:vertAlign w:val="superscript"/>
          <w:lang w:val="en-GB"/>
        </w:rPr>
        <w:t>85</w:t>
      </w:r>
      <w:r w:rsidR="001D3206">
        <w:rPr>
          <w:lang w:val="en-GB"/>
        </w:rPr>
        <w:fldChar w:fldCharType="end"/>
      </w:r>
      <w:r>
        <w:rPr>
          <w:lang w:val="en-GB"/>
        </w:rPr>
        <w:t xml:space="preserve"> </w:t>
      </w:r>
    </w:p>
    <w:p w:rsidR="00436563" w:rsidRDefault="00436563" w:rsidP="00CF52FE">
      <w:pPr>
        <w:pStyle w:val="Plattetekst"/>
        <w:rPr>
          <w:b/>
          <w:bCs/>
          <w:iCs/>
          <w:sz w:val="28"/>
          <w:szCs w:val="28"/>
          <w:lang w:val="en-GB"/>
        </w:rPr>
      </w:pPr>
    </w:p>
    <w:p w:rsidR="00E22FB8" w:rsidRDefault="00E22FB8" w:rsidP="00CF52FE">
      <w:pPr>
        <w:pStyle w:val="Plattetekst"/>
        <w:rPr>
          <w:b/>
          <w:bCs/>
          <w:iCs/>
          <w:lang w:val="en-GB"/>
        </w:rPr>
      </w:pPr>
      <w:r w:rsidRPr="00E22FB8">
        <w:rPr>
          <w:b/>
          <w:bCs/>
          <w:iCs/>
          <w:lang w:val="en-GB"/>
        </w:rPr>
        <w:t xml:space="preserve">Box 3. </w:t>
      </w:r>
      <w:r>
        <w:rPr>
          <w:b/>
          <w:bCs/>
          <w:iCs/>
          <w:lang w:val="en-GB"/>
        </w:rPr>
        <w:t xml:space="preserve">The contrasting experiences of </w:t>
      </w:r>
      <w:r w:rsidR="008F1882">
        <w:rPr>
          <w:b/>
          <w:bCs/>
          <w:iCs/>
          <w:lang w:val="en-GB"/>
        </w:rPr>
        <w:t>the C</w:t>
      </w:r>
      <w:r w:rsidR="00325AE5">
        <w:rPr>
          <w:b/>
          <w:bCs/>
          <w:iCs/>
          <w:lang w:val="en-GB"/>
        </w:rPr>
        <w:t>z</w:t>
      </w:r>
      <w:r w:rsidR="008F1882">
        <w:rPr>
          <w:b/>
          <w:bCs/>
          <w:iCs/>
          <w:lang w:val="en-GB"/>
        </w:rPr>
        <w:t xml:space="preserve">ech Republic and </w:t>
      </w:r>
      <w:r>
        <w:rPr>
          <w:b/>
          <w:bCs/>
          <w:iCs/>
          <w:lang w:val="en-GB"/>
        </w:rPr>
        <w:t xml:space="preserve">Austria, and of </w:t>
      </w:r>
      <w:r w:rsidR="008F1882">
        <w:rPr>
          <w:b/>
          <w:bCs/>
          <w:iCs/>
          <w:lang w:val="en-GB"/>
        </w:rPr>
        <w:t xml:space="preserve">Estonia and </w:t>
      </w:r>
      <w:r>
        <w:rPr>
          <w:b/>
          <w:bCs/>
          <w:iCs/>
          <w:lang w:val="en-GB"/>
        </w:rPr>
        <w:t xml:space="preserve">Finland </w:t>
      </w:r>
    </w:p>
    <w:p w:rsidR="009679B5" w:rsidRDefault="008E5AC3" w:rsidP="00CF52FE">
      <w:pPr>
        <w:pStyle w:val="Plattetekst"/>
        <w:rPr>
          <w:bCs/>
          <w:iCs/>
          <w:lang w:val="en-GB"/>
        </w:rPr>
      </w:pPr>
      <w:r w:rsidRPr="008E5AC3">
        <w:rPr>
          <w:bCs/>
          <w:iCs/>
          <w:lang w:val="en-GB"/>
        </w:rPr>
        <w:t>Czech</w:t>
      </w:r>
      <w:r>
        <w:rPr>
          <w:bCs/>
          <w:iCs/>
          <w:lang w:val="en-GB"/>
        </w:rPr>
        <w:t xml:space="preserve">oslovakia and Austria became independent countries after the First World War, with the dissolution of the Austro-Hungarian </w:t>
      </w:r>
      <w:r w:rsidR="00A0426A">
        <w:rPr>
          <w:bCs/>
          <w:iCs/>
          <w:lang w:val="en-GB"/>
        </w:rPr>
        <w:t>E</w:t>
      </w:r>
      <w:r>
        <w:rPr>
          <w:bCs/>
          <w:iCs/>
          <w:lang w:val="en-GB"/>
        </w:rPr>
        <w:t xml:space="preserve">mpire. In the 1920s and 1930s both countries </w:t>
      </w:r>
      <w:r w:rsidRPr="008E5AC3">
        <w:rPr>
          <w:bCs/>
          <w:iCs/>
          <w:lang w:val="en-GB"/>
        </w:rPr>
        <w:t xml:space="preserve">had </w:t>
      </w:r>
      <w:r>
        <w:rPr>
          <w:bCs/>
          <w:iCs/>
          <w:lang w:val="en-GB"/>
        </w:rPr>
        <w:t xml:space="preserve">very </w:t>
      </w:r>
      <w:r w:rsidRPr="008E5AC3">
        <w:rPr>
          <w:bCs/>
          <w:iCs/>
          <w:lang w:val="en-GB"/>
        </w:rPr>
        <w:t>similar economic and cultural conditions</w:t>
      </w:r>
      <w:r>
        <w:rPr>
          <w:bCs/>
          <w:iCs/>
          <w:lang w:val="en-GB"/>
        </w:rPr>
        <w:t xml:space="preserve">, </w:t>
      </w:r>
      <w:r w:rsidRPr="008E5AC3">
        <w:rPr>
          <w:bCs/>
          <w:iCs/>
          <w:lang w:val="en-GB"/>
        </w:rPr>
        <w:t>and their life expectanc</w:t>
      </w:r>
      <w:r>
        <w:rPr>
          <w:bCs/>
          <w:iCs/>
          <w:lang w:val="en-GB"/>
        </w:rPr>
        <w:t>ies</w:t>
      </w:r>
      <w:r w:rsidRPr="008E5AC3">
        <w:rPr>
          <w:bCs/>
          <w:iCs/>
          <w:lang w:val="en-GB"/>
        </w:rPr>
        <w:t xml:space="preserve"> in that period w</w:t>
      </w:r>
      <w:r>
        <w:rPr>
          <w:bCs/>
          <w:iCs/>
          <w:lang w:val="en-GB"/>
        </w:rPr>
        <w:t xml:space="preserve">ere nearly </w:t>
      </w:r>
      <w:r w:rsidRPr="008E5AC3">
        <w:rPr>
          <w:bCs/>
          <w:iCs/>
          <w:lang w:val="en-GB"/>
        </w:rPr>
        <w:t>identical. After the Second World War, however, Czech</w:t>
      </w:r>
      <w:r>
        <w:rPr>
          <w:bCs/>
          <w:iCs/>
          <w:lang w:val="en-GB"/>
        </w:rPr>
        <w:t>oslovakia</w:t>
      </w:r>
      <w:r w:rsidRPr="008E5AC3">
        <w:rPr>
          <w:bCs/>
          <w:iCs/>
          <w:lang w:val="en-GB"/>
        </w:rPr>
        <w:t xml:space="preserve"> </w:t>
      </w:r>
      <w:r>
        <w:rPr>
          <w:bCs/>
          <w:iCs/>
          <w:lang w:val="en-GB"/>
        </w:rPr>
        <w:t xml:space="preserve">became part of </w:t>
      </w:r>
      <w:r w:rsidRPr="008E5AC3">
        <w:rPr>
          <w:bCs/>
          <w:iCs/>
          <w:lang w:val="en-GB"/>
        </w:rPr>
        <w:t xml:space="preserve">the Soviet bloc, </w:t>
      </w:r>
      <w:r>
        <w:rPr>
          <w:bCs/>
          <w:iCs/>
          <w:lang w:val="en-GB"/>
        </w:rPr>
        <w:t xml:space="preserve">following a communist </w:t>
      </w:r>
      <w:r>
        <w:rPr>
          <w:bCs/>
          <w:i/>
          <w:iCs/>
          <w:lang w:val="en-GB"/>
        </w:rPr>
        <w:t xml:space="preserve">coup </w:t>
      </w:r>
      <w:r w:rsidRPr="008E5AC3">
        <w:rPr>
          <w:bCs/>
          <w:i/>
          <w:iCs/>
          <w:lang w:val="en-GB"/>
        </w:rPr>
        <w:t>d’état</w:t>
      </w:r>
      <w:r>
        <w:rPr>
          <w:bCs/>
          <w:iCs/>
          <w:lang w:val="en-GB"/>
        </w:rPr>
        <w:t>, while Austria remained in the western sphere of influence. F</w:t>
      </w:r>
      <w:r w:rsidRPr="008E5AC3">
        <w:rPr>
          <w:bCs/>
          <w:iCs/>
          <w:lang w:val="en-GB"/>
        </w:rPr>
        <w:t xml:space="preserve">rom about 1970 their life expectancies started to diverge, with </w:t>
      </w:r>
      <w:r w:rsidR="004B792F">
        <w:rPr>
          <w:bCs/>
          <w:iCs/>
          <w:lang w:val="en-GB"/>
        </w:rPr>
        <w:t xml:space="preserve">Austria’s life expectancy on an upward track and that of Czechoslovakia stagnating and </w:t>
      </w:r>
      <w:r>
        <w:rPr>
          <w:bCs/>
          <w:iCs/>
          <w:lang w:val="en-GB"/>
        </w:rPr>
        <w:t xml:space="preserve">gradually </w:t>
      </w:r>
      <w:r w:rsidRPr="008E5AC3">
        <w:rPr>
          <w:bCs/>
          <w:iCs/>
          <w:lang w:val="en-GB"/>
        </w:rPr>
        <w:t>becoming similar to the lower life expectancy in Poland.</w:t>
      </w:r>
      <w:r>
        <w:rPr>
          <w:bCs/>
          <w:iCs/>
          <w:lang w:val="en-GB"/>
        </w:rPr>
        <w:t xml:space="preserve"> It is only since the break-up of the Soviet bloc that the gap in life expectancy between </w:t>
      </w:r>
      <w:r w:rsidR="001C147B">
        <w:rPr>
          <w:bCs/>
          <w:iCs/>
          <w:lang w:val="en-GB"/>
        </w:rPr>
        <w:t xml:space="preserve">Austria and (now) the Czech and Slovak Republics has started to diminish somewhat. </w:t>
      </w:r>
      <w:r w:rsidR="00397889">
        <w:rPr>
          <w:bCs/>
          <w:iCs/>
          <w:lang w:val="en-GB"/>
        </w:rPr>
        <w:t xml:space="preserve">Currently, the Czech Republic is performing better than many other central and eastern European countries in several areas of health policy, including teenage pregnancies and neonatal mortality, cancer screening and road traffic safety, but </w:t>
      </w:r>
      <w:r w:rsidR="001732E4">
        <w:rPr>
          <w:bCs/>
          <w:iCs/>
          <w:lang w:val="en-GB"/>
        </w:rPr>
        <w:t xml:space="preserve">it is lagging behind </w:t>
      </w:r>
      <w:r w:rsidR="00397889">
        <w:rPr>
          <w:bCs/>
          <w:iCs/>
          <w:lang w:val="en-GB"/>
        </w:rPr>
        <w:t xml:space="preserve">in tobacco and alcohol control  </w:t>
      </w:r>
      <w:r w:rsidR="001D3206">
        <w:rPr>
          <w:bCs/>
          <w:iCs/>
          <w:lang w:val="en-GB"/>
        </w:rPr>
        <w:fldChar w:fldCharType="begin"/>
      </w:r>
      <w:r w:rsidR="00397889">
        <w:rPr>
          <w:bCs/>
          <w:iCs/>
          <w:lang w:val="en-GB"/>
        </w:rPr>
        <w:instrText xml:space="preserve"> ADDIN EN.CITE &lt;EndNote&gt;&lt;Cite&gt;&lt;Author&gt;Mackenbach&lt;/Author&gt;&lt;Year&gt;(in press)&lt;/Year&gt;&lt;RecNum&gt;53&lt;/RecNum&gt;&lt;DisplayText&gt;[1]&lt;/DisplayText&gt;&lt;record&gt;&lt;rec-number&gt;53&lt;/rec-number&gt;&lt;foreign-keys&gt;&lt;key app="EN" db-id="x0x5v9tejav5faewxt4xwrd5aav2xredt5zf"&gt;53&lt;/key&gt;&lt;/foreign-keys&gt;&lt;ref-type name="Edited Book"&gt;28&lt;/ref-type&gt;&lt;contributors&gt;&lt;authors&gt;&lt;author&gt;Mackenbach, J.P.&lt;/author&gt;&lt;author&gt;McKee, M.&lt;/author&gt;&lt;/authors&gt;&lt;/contributors&gt;&lt;titles&gt;&lt;title&gt;Successes and failures of health policy in Europe over four decades: Diverging trends, converging challenges&lt;/title&gt;&lt;/titles&gt;&lt;dates&gt;&lt;year&gt;(in press)&lt;/year&gt;&lt;/dates&gt;&lt;pub-location&gt;Buckingham&lt;/pub-location&gt;&lt;publisher&gt;Open University Press&lt;/publisher&gt;&lt;urls&gt;&lt;/urls&gt;&lt;/record&gt;&lt;/Cite&gt;&lt;/EndNote&gt;</w:instrText>
      </w:r>
      <w:r w:rsidR="001D3206">
        <w:rPr>
          <w:bCs/>
          <w:iCs/>
          <w:lang w:val="en-GB"/>
        </w:rPr>
        <w:fldChar w:fldCharType="separate"/>
      </w:r>
      <w:r w:rsidR="001406BF" w:rsidRPr="001406BF">
        <w:rPr>
          <w:bCs/>
          <w:iCs/>
          <w:noProof/>
          <w:vertAlign w:val="superscript"/>
          <w:lang w:val="en-GB"/>
        </w:rPr>
        <w:t>1</w:t>
      </w:r>
      <w:r w:rsidR="001D3206">
        <w:rPr>
          <w:bCs/>
          <w:iCs/>
          <w:lang w:val="en-GB"/>
        </w:rPr>
        <w:fldChar w:fldCharType="end"/>
      </w:r>
      <w:r w:rsidR="00397889">
        <w:rPr>
          <w:bCs/>
          <w:iCs/>
          <w:lang w:val="en-GB"/>
        </w:rPr>
        <w:t xml:space="preserve">. </w:t>
      </w:r>
    </w:p>
    <w:p w:rsidR="009679B5" w:rsidRDefault="009679B5" w:rsidP="00CF52FE">
      <w:pPr>
        <w:pStyle w:val="Plattetekst"/>
        <w:rPr>
          <w:bCs/>
          <w:iCs/>
          <w:lang w:val="en-GB"/>
        </w:rPr>
      </w:pPr>
    </w:p>
    <w:p w:rsidR="00E22FB8" w:rsidRPr="008F1882" w:rsidRDefault="008F1882" w:rsidP="00CF52FE">
      <w:pPr>
        <w:pStyle w:val="Plattetekst"/>
        <w:rPr>
          <w:bCs/>
          <w:iCs/>
          <w:lang w:val="en-GB"/>
        </w:rPr>
      </w:pPr>
      <w:r w:rsidRPr="008F1882">
        <w:rPr>
          <w:bCs/>
          <w:iCs/>
          <w:lang w:val="en-GB"/>
        </w:rPr>
        <w:lastRenderedPageBreak/>
        <w:t>Estonia became independent from Russia in 1918, but was re-occupied by the Soviet Union in 1940</w:t>
      </w:r>
      <w:r>
        <w:rPr>
          <w:bCs/>
          <w:iCs/>
          <w:lang w:val="en-GB"/>
        </w:rPr>
        <w:t>,</w:t>
      </w:r>
      <w:r w:rsidRPr="008F1882">
        <w:rPr>
          <w:bCs/>
          <w:iCs/>
          <w:lang w:val="en-GB"/>
        </w:rPr>
        <w:t xml:space="preserve"> and became independent again only in 1989.</w:t>
      </w:r>
      <w:r>
        <w:rPr>
          <w:bCs/>
          <w:iCs/>
          <w:lang w:val="en-GB"/>
        </w:rPr>
        <w:t xml:space="preserve"> Finland provides a possible counterfactual of what </w:t>
      </w:r>
      <w:r w:rsidRPr="008F1882">
        <w:rPr>
          <w:bCs/>
          <w:iCs/>
          <w:lang w:val="en-GB"/>
        </w:rPr>
        <w:t xml:space="preserve">could have happened to </w:t>
      </w:r>
      <w:r>
        <w:rPr>
          <w:bCs/>
          <w:iCs/>
          <w:lang w:val="en-GB"/>
        </w:rPr>
        <w:t xml:space="preserve">Estonian </w:t>
      </w:r>
      <w:r w:rsidRPr="008F1882">
        <w:rPr>
          <w:bCs/>
          <w:iCs/>
          <w:lang w:val="en-GB"/>
        </w:rPr>
        <w:t xml:space="preserve">life expectancy if it would </w:t>
      </w:r>
      <w:r w:rsidR="00375E4B">
        <w:rPr>
          <w:bCs/>
          <w:iCs/>
          <w:lang w:val="en-GB"/>
        </w:rPr>
        <w:t xml:space="preserve">not </w:t>
      </w:r>
      <w:r w:rsidRPr="008F1882">
        <w:rPr>
          <w:bCs/>
          <w:iCs/>
          <w:lang w:val="en-GB"/>
        </w:rPr>
        <w:t xml:space="preserve">have </w:t>
      </w:r>
      <w:r>
        <w:rPr>
          <w:bCs/>
          <w:iCs/>
          <w:lang w:val="en-GB"/>
        </w:rPr>
        <w:t xml:space="preserve">been </w:t>
      </w:r>
      <w:r w:rsidR="00375E4B">
        <w:rPr>
          <w:bCs/>
          <w:iCs/>
          <w:lang w:val="en-GB"/>
        </w:rPr>
        <w:t xml:space="preserve">in the </w:t>
      </w:r>
      <w:r w:rsidRPr="008F1882">
        <w:rPr>
          <w:bCs/>
          <w:iCs/>
          <w:lang w:val="en-GB"/>
        </w:rPr>
        <w:t>Russian sphere of influence</w:t>
      </w:r>
      <w:r w:rsidR="00375E4B">
        <w:rPr>
          <w:bCs/>
          <w:iCs/>
          <w:lang w:val="en-GB"/>
        </w:rPr>
        <w:t xml:space="preserve"> for more than 40 years</w:t>
      </w:r>
      <w:r w:rsidRPr="008F1882">
        <w:rPr>
          <w:bCs/>
          <w:iCs/>
          <w:lang w:val="en-GB"/>
        </w:rPr>
        <w:t>.</w:t>
      </w:r>
      <w:r w:rsidR="00375E4B">
        <w:rPr>
          <w:bCs/>
          <w:iCs/>
          <w:lang w:val="en-GB"/>
        </w:rPr>
        <w:t xml:space="preserve"> </w:t>
      </w:r>
      <w:r w:rsidR="006111B8" w:rsidRPr="006111B8">
        <w:rPr>
          <w:bCs/>
          <w:iCs/>
          <w:lang w:val="en-GB"/>
        </w:rPr>
        <w:t xml:space="preserve">Finland </w:t>
      </w:r>
      <w:r w:rsidR="00904738">
        <w:rPr>
          <w:bCs/>
          <w:iCs/>
          <w:lang w:val="en-GB"/>
        </w:rPr>
        <w:t xml:space="preserve">also </w:t>
      </w:r>
      <w:r w:rsidR="006111B8" w:rsidRPr="006111B8">
        <w:rPr>
          <w:bCs/>
          <w:iCs/>
          <w:lang w:val="en-GB"/>
        </w:rPr>
        <w:t>started the 20th century as part of the Russian empire</w:t>
      </w:r>
      <w:r w:rsidR="00904738">
        <w:rPr>
          <w:bCs/>
          <w:iCs/>
          <w:lang w:val="en-GB"/>
        </w:rPr>
        <w:t xml:space="preserve">, but </w:t>
      </w:r>
      <w:r w:rsidR="00904738" w:rsidRPr="00904738">
        <w:rPr>
          <w:bCs/>
          <w:iCs/>
          <w:lang w:val="en-GB"/>
        </w:rPr>
        <w:t>became independent in 1917</w:t>
      </w:r>
      <w:r w:rsidR="00904738">
        <w:rPr>
          <w:bCs/>
          <w:iCs/>
          <w:lang w:val="en-GB"/>
        </w:rPr>
        <w:t xml:space="preserve"> and has been independent ever since. In 1930, Finland and Estonia </w:t>
      </w:r>
      <w:r w:rsidR="003F1439">
        <w:rPr>
          <w:bCs/>
          <w:iCs/>
          <w:lang w:val="en-GB"/>
        </w:rPr>
        <w:t xml:space="preserve">still </w:t>
      </w:r>
      <w:r w:rsidR="00904738">
        <w:rPr>
          <w:bCs/>
          <w:iCs/>
          <w:lang w:val="en-GB"/>
        </w:rPr>
        <w:t>had a similar level of life e</w:t>
      </w:r>
      <w:r w:rsidR="00334CCA">
        <w:rPr>
          <w:bCs/>
          <w:iCs/>
          <w:lang w:val="en-GB"/>
        </w:rPr>
        <w:t>x</w:t>
      </w:r>
      <w:r w:rsidR="00904738">
        <w:rPr>
          <w:bCs/>
          <w:iCs/>
          <w:lang w:val="en-GB"/>
        </w:rPr>
        <w:t>pectancy</w:t>
      </w:r>
      <w:r w:rsidR="00334CCA">
        <w:rPr>
          <w:bCs/>
          <w:iCs/>
          <w:lang w:val="en-GB"/>
        </w:rPr>
        <w:t xml:space="preserve">, some 5 to 10 years lower than that of Sweden, but 15 to 20 years higher than that of Russia. After 1950, their life expectancies began to diverge, and while Finland steadily narrowed the gap with Sweden, Estonia followed in the steps of Russia with stagnating life </w:t>
      </w:r>
      <w:r w:rsidR="003F1439">
        <w:rPr>
          <w:bCs/>
          <w:iCs/>
          <w:lang w:val="en-GB"/>
        </w:rPr>
        <w:t xml:space="preserve">and even declining </w:t>
      </w:r>
      <w:r w:rsidR="00334CCA">
        <w:rPr>
          <w:bCs/>
          <w:iCs/>
          <w:lang w:val="en-GB"/>
        </w:rPr>
        <w:t>expectancy</w:t>
      </w:r>
      <w:r w:rsidR="003F1439">
        <w:rPr>
          <w:bCs/>
          <w:iCs/>
          <w:lang w:val="en-GB"/>
        </w:rPr>
        <w:t>, particularly among men</w:t>
      </w:r>
      <w:r w:rsidR="00334CCA">
        <w:rPr>
          <w:bCs/>
          <w:iCs/>
          <w:lang w:val="en-GB"/>
        </w:rPr>
        <w:t xml:space="preserve">. </w:t>
      </w:r>
      <w:r w:rsidR="006111B8" w:rsidRPr="006111B8">
        <w:rPr>
          <w:bCs/>
          <w:iCs/>
          <w:lang w:val="en-GB"/>
        </w:rPr>
        <w:t xml:space="preserve">It is only since independence that Estonian life expectancy trends started to break away from </w:t>
      </w:r>
      <w:r w:rsidR="002506A8">
        <w:rPr>
          <w:bCs/>
          <w:iCs/>
          <w:lang w:val="en-GB"/>
        </w:rPr>
        <w:t xml:space="preserve">those in </w:t>
      </w:r>
      <w:r w:rsidR="006111B8" w:rsidRPr="006111B8">
        <w:rPr>
          <w:bCs/>
          <w:iCs/>
          <w:lang w:val="en-GB"/>
        </w:rPr>
        <w:t xml:space="preserve">Russia </w:t>
      </w:r>
      <w:r w:rsidR="002506A8">
        <w:rPr>
          <w:bCs/>
          <w:iCs/>
          <w:lang w:val="en-GB"/>
        </w:rPr>
        <w:t>once more</w:t>
      </w:r>
      <w:r w:rsidR="006111B8" w:rsidRPr="006111B8">
        <w:rPr>
          <w:bCs/>
          <w:iCs/>
          <w:lang w:val="en-GB"/>
        </w:rPr>
        <w:t>again .</w:t>
      </w:r>
      <w:r w:rsidR="001D3206">
        <w:rPr>
          <w:bCs/>
          <w:iCs/>
          <w:lang w:val="en-GB"/>
        </w:rPr>
        <w:fldChar w:fldCharType="begin"/>
      </w:r>
      <w:r w:rsidR="00E968A4">
        <w:rPr>
          <w:bCs/>
          <w:iCs/>
          <w:lang w:val="en-GB"/>
        </w:rPr>
        <w:instrText xml:space="preserve"> ADDIN EN.CITE &lt;EndNote&gt;&lt;Cite&gt;&lt;Author&gt;Jasilionis&lt;/Author&gt;&lt;Year&gt;2011&lt;/Year&gt;&lt;RecNum&gt;21&lt;/RecNum&gt;&lt;record&gt;&lt;rec-number&gt;21&lt;/rec-number&gt;&lt;foreign-keys&gt;&lt;key app="EN" db-id="tss0rdex3zvparert03vs0prx5pspz50ftd5"&gt;21&lt;/key&gt;&lt;/foreign-keys&gt;&lt;ref-type name="Journal Article"&gt;17&lt;/ref-type&gt;&lt;contributors&gt;&lt;authors&gt;&lt;author&gt;Jasilionis, D.&lt;/author&gt;&lt;author&gt;Meslé, F.&lt;/author&gt;&lt;author&gt;Shkolnikov, V.&lt;/author&gt;&lt;author&gt;Vallin, J.&lt;/author&gt;&lt;/authors&gt;&lt;/contributors&gt;&lt;titles&gt;&lt;title&gt;Recent life expectancy divergence in Baltic countries&lt;/title&gt;&lt;secondary-title&gt;European Journal of Population&lt;/secondary-title&gt;&lt;/titles&gt;&lt;periodical&gt;&lt;full-title&gt;European Journal of Population&lt;/full-title&gt;&lt;/periodical&gt;&lt;pages&gt;403-431&lt;/pages&gt;&lt;volume&gt;27 &lt;/volume&gt;&lt;number&gt;4&lt;/number&gt;&lt;dates&gt;&lt;year&gt;2011&lt;/year&gt;&lt;/dates&gt;&lt;urls&gt;&lt;/urls&gt;&lt;/record&gt;&lt;/Cite&gt;&lt;Cite&gt;&lt;Author&gt;Karanikolos&lt;/Author&gt;&lt;Year&gt;2012&lt;/Year&gt;&lt;RecNum&gt;20&lt;/RecNum&gt;&lt;record&gt;&lt;rec-number&gt;20&lt;/rec-number&gt;&lt;foreign-keys&gt;&lt;key app="EN" db-id="tss0rdex3zvparert03vs0prx5pspz50ftd5"&gt;20&lt;/key&gt;&lt;/foreign-keys&gt;&lt;ref-type name="Journal Article"&gt;17&lt;/ref-type&gt;&lt;contributors&gt;&lt;authors&gt;&lt;author&gt;Karanikolos, M.&lt;/author&gt;&lt;author&gt;Leon, D.A.&lt;/author&gt;&lt;author&gt;Smith, P.C.&lt;/author&gt;&lt;author&gt;McKee, M. &lt;/author&gt;&lt;/authors&gt;&lt;/contributors&gt;&lt;titles&gt;&lt;title&gt;Minding the gap: changes in life expectancy in the Baltic States compared to Finland&lt;/title&gt;&lt;secondary-title&gt;J Epidemiol Comm Health&lt;/secondary-title&gt;&lt;/titles&gt;&lt;periodical&gt;&lt;full-title&gt;J Epidemiol Comm Health&lt;/full-title&gt;&lt;/periodical&gt;&lt;volume&gt;doi:10.1136/jech-2011-200879&lt;/volume&gt;&lt;dates&gt;&lt;year&gt;2012&lt;/year&gt;&lt;/dates&gt;&lt;urls&gt;&lt;/urls&gt;&lt;/record&gt;&lt;/Cite&gt;&lt;/EndNote&gt;</w:instrText>
      </w:r>
      <w:r w:rsidR="001D3206">
        <w:rPr>
          <w:bCs/>
          <w:iCs/>
          <w:lang w:val="en-GB"/>
        </w:rPr>
        <w:fldChar w:fldCharType="separate"/>
      </w:r>
      <w:r w:rsidR="00E968A4" w:rsidRPr="00E968A4">
        <w:rPr>
          <w:bCs/>
          <w:iCs/>
          <w:noProof/>
          <w:vertAlign w:val="superscript"/>
          <w:lang w:val="en-GB"/>
        </w:rPr>
        <w:t>25-26</w:t>
      </w:r>
      <w:r w:rsidR="001D3206">
        <w:rPr>
          <w:bCs/>
          <w:iCs/>
          <w:lang w:val="en-GB"/>
        </w:rPr>
        <w:fldChar w:fldCharType="end"/>
      </w:r>
      <w:r w:rsidR="003F1439">
        <w:rPr>
          <w:bCs/>
          <w:iCs/>
          <w:lang w:val="en-GB"/>
        </w:rPr>
        <w:t xml:space="preserve"> Currently, Estonia still lags far behind Finland in many areas of health policy: </w:t>
      </w:r>
      <w:r w:rsidR="00A0426A">
        <w:rPr>
          <w:bCs/>
          <w:iCs/>
          <w:lang w:val="en-GB"/>
        </w:rPr>
        <w:t xml:space="preserve">weaker </w:t>
      </w:r>
      <w:r w:rsidR="003F1439">
        <w:rPr>
          <w:bCs/>
          <w:iCs/>
          <w:lang w:val="en-GB"/>
        </w:rPr>
        <w:t xml:space="preserve">tobacco control and higher smoking </w:t>
      </w:r>
      <w:r w:rsidR="00A0426A">
        <w:rPr>
          <w:bCs/>
          <w:iCs/>
          <w:lang w:val="en-GB"/>
        </w:rPr>
        <w:t xml:space="preserve">rates </w:t>
      </w:r>
      <w:r w:rsidR="003F1439">
        <w:rPr>
          <w:bCs/>
          <w:iCs/>
          <w:lang w:val="en-GB"/>
        </w:rPr>
        <w:t xml:space="preserve">and lung cancer mortality rates, less alcohol control and higher alcohol consumption and liver cirrhosis mortality rates, more teenage pregnancies and higher neonatal mortality rates, </w:t>
      </w:r>
      <w:r w:rsidR="00A0426A">
        <w:rPr>
          <w:bCs/>
          <w:iCs/>
          <w:lang w:val="en-GB"/>
        </w:rPr>
        <w:t xml:space="preserve">worse </w:t>
      </w:r>
      <w:r w:rsidR="003F1439">
        <w:rPr>
          <w:bCs/>
          <w:iCs/>
          <w:lang w:val="en-GB"/>
        </w:rPr>
        <w:t xml:space="preserve">road safety and higher motor vehicle accident mortality rates. </w:t>
      </w:r>
      <w:r w:rsidR="001D3206">
        <w:rPr>
          <w:bCs/>
          <w:iCs/>
          <w:lang w:val="en-GB"/>
        </w:rPr>
        <w:fldChar w:fldCharType="begin"/>
      </w:r>
      <w:r w:rsidR="009679B5">
        <w:rPr>
          <w:bCs/>
          <w:iCs/>
          <w:lang w:val="en-GB"/>
        </w:rPr>
        <w:instrText xml:space="preserve"> ADDIN EN.CITE &lt;EndNote&gt;&lt;Cite&gt;&lt;Author&gt;Mackenbach&lt;/Author&gt;&lt;Year&gt;(in press)&lt;/Year&gt;&lt;RecNum&gt;53&lt;/RecNum&gt;&lt;DisplayText&gt;[1]&lt;/DisplayText&gt;&lt;record&gt;&lt;rec-number&gt;53&lt;/rec-number&gt;&lt;foreign-keys&gt;&lt;key app="EN" db-id="x0x5v9tejav5faewxt4xwrd5aav2xredt5zf"&gt;53&lt;/key&gt;&lt;/foreign-keys&gt;&lt;ref-type name="Edited Book"&gt;28&lt;/ref-type&gt;&lt;contributors&gt;&lt;authors&gt;&lt;author&gt;Mackenbach, J.P.&lt;/author&gt;&lt;author&gt;McKee, M.&lt;/author&gt;&lt;/authors&gt;&lt;/contributors&gt;&lt;titles&gt;&lt;title&gt;Successes and failures of health policy in Europe over four decades: Diverging trends, converging challenges&lt;/title&gt;&lt;/titles&gt;&lt;dates&gt;&lt;year&gt;(in press)&lt;/year&gt;&lt;/dates&gt;&lt;pub-location&gt;Buckingham&lt;/pub-location&gt;&lt;publisher&gt;Open University Press&lt;/publisher&gt;&lt;urls&gt;&lt;/urls&gt;&lt;/record&gt;&lt;/Cite&gt;&lt;/EndNote&gt;</w:instrText>
      </w:r>
      <w:r w:rsidR="001D3206">
        <w:rPr>
          <w:bCs/>
          <w:iCs/>
          <w:lang w:val="en-GB"/>
        </w:rPr>
        <w:fldChar w:fldCharType="separate"/>
      </w:r>
      <w:r w:rsidR="001406BF" w:rsidRPr="001406BF">
        <w:rPr>
          <w:bCs/>
          <w:iCs/>
          <w:noProof/>
          <w:vertAlign w:val="superscript"/>
          <w:lang w:val="en-GB"/>
        </w:rPr>
        <w:t>1</w:t>
      </w:r>
      <w:r w:rsidR="001D3206">
        <w:rPr>
          <w:bCs/>
          <w:iCs/>
          <w:lang w:val="en-GB"/>
        </w:rPr>
        <w:fldChar w:fldCharType="end"/>
      </w:r>
    </w:p>
    <w:p w:rsidR="00436563" w:rsidRPr="00493A70" w:rsidRDefault="00436563">
      <w:pPr>
        <w:pStyle w:val="Kop2"/>
      </w:pPr>
      <w:r w:rsidRPr="00493A70">
        <w:t>References</w:t>
      </w:r>
    </w:p>
    <w:p w:rsidR="00E968A4" w:rsidRPr="00E968A4" w:rsidRDefault="001D3206" w:rsidP="00E968A4">
      <w:pPr>
        <w:pStyle w:val="Lijstalinea"/>
        <w:ind w:left="0"/>
        <w:rPr>
          <w:rFonts w:cs="Calibri"/>
          <w:noProof/>
          <w:lang w:val="en-GB"/>
        </w:rPr>
      </w:pPr>
      <w:r w:rsidRPr="00493A70">
        <w:rPr>
          <w:lang w:val="en-GB"/>
        </w:rPr>
        <w:fldChar w:fldCharType="begin"/>
      </w:r>
      <w:r w:rsidR="00436563" w:rsidRPr="00493A70">
        <w:rPr>
          <w:lang w:val="en-GB"/>
        </w:rPr>
        <w:instrText xml:space="preserve"> ADDIN EN.REFLIST </w:instrText>
      </w:r>
      <w:r w:rsidRPr="00493A70">
        <w:rPr>
          <w:lang w:val="en-GB"/>
        </w:rPr>
        <w:fldChar w:fldCharType="separate"/>
      </w:r>
      <w:r w:rsidR="00E968A4" w:rsidRPr="00E968A4">
        <w:rPr>
          <w:rFonts w:cs="Calibri"/>
          <w:noProof/>
          <w:lang w:val="en-GB"/>
        </w:rPr>
        <w:t>1.</w:t>
      </w:r>
      <w:r w:rsidR="00E968A4" w:rsidRPr="00E968A4">
        <w:rPr>
          <w:rFonts w:cs="Calibri"/>
          <w:noProof/>
          <w:lang w:val="en-GB"/>
        </w:rPr>
        <w:tab/>
        <w:t>Mackenbach JP, McKee M, editors. Successes and failures of health policy in Europe over four decades: Diverging trends, converging challenges. Buckingham: Open University Press; (in press).</w:t>
      </w:r>
    </w:p>
    <w:p w:rsidR="00E968A4" w:rsidRPr="00E968A4" w:rsidRDefault="00E968A4" w:rsidP="00E968A4">
      <w:pPr>
        <w:pStyle w:val="Lijstalinea"/>
        <w:ind w:left="0"/>
        <w:rPr>
          <w:rFonts w:cs="Calibri"/>
          <w:noProof/>
          <w:lang w:val="en-GB"/>
        </w:rPr>
      </w:pPr>
      <w:r w:rsidRPr="00E968A4">
        <w:rPr>
          <w:rFonts w:cs="Calibri"/>
          <w:noProof/>
          <w:lang w:val="en-GB"/>
        </w:rPr>
        <w:t>2.</w:t>
      </w:r>
      <w:r w:rsidRPr="00E968A4">
        <w:rPr>
          <w:rFonts w:cs="Calibri"/>
          <w:noProof/>
          <w:lang w:val="en-GB"/>
        </w:rPr>
        <w:tab/>
        <w:t>Greer SL, Hervey TK, Mackenbach JP, McKee M. Health Law and Policy in the European Union. Lancet.</w:t>
      </w:r>
    </w:p>
    <w:p w:rsidR="00E968A4" w:rsidRPr="00E968A4" w:rsidRDefault="00E968A4" w:rsidP="00E968A4">
      <w:pPr>
        <w:pStyle w:val="Lijstalinea"/>
        <w:ind w:left="0"/>
        <w:rPr>
          <w:rFonts w:cs="Calibri"/>
          <w:noProof/>
          <w:lang w:val="en-GB"/>
        </w:rPr>
      </w:pPr>
      <w:r w:rsidRPr="00E968A4">
        <w:rPr>
          <w:rFonts w:cs="Calibri"/>
          <w:noProof/>
          <w:lang w:val="en-GB"/>
        </w:rPr>
        <w:t>3.</w:t>
      </w:r>
      <w:r w:rsidRPr="00E968A4">
        <w:rPr>
          <w:rFonts w:cs="Calibri"/>
          <w:noProof/>
          <w:lang w:val="en-GB"/>
        </w:rPr>
        <w:tab/>
        <w:t>McKee M, Mossialos E, Baeten R. The impact of EU law on health care systems: P.I.E.-Peter Lang; 2002.</w:t>
      </w:r>
    </w:p>
    <w:p w:rsidR="00E968A4" w:rsidRPr="00E968A4" w:rsidRDefault="00E968A4" w:rsidP="00E968A4">
      <w:pPr>
        <w:pStyle w:val="Lijstalinea"/>
        <w:ind w:left="0"/>
        <w:rPr>
          <w:rFonts w:cs="Calibri"/>
          <w:noProof/>
          <w:lang w:val="en-GB"/>
        </w:rPr>
      </w:pPr>
      <w:r w:rsidRPr="00E968A4">
        <w:rPr>
          <w:rFonts w:cs="Calibri"/>
          <w:noProof/>
          <w:lang w:val="en-GB"/>
        </w:rPr>
        <w:t>4.</w:t>
      </w:r>
      <w:r w:rsidRPr="00E968A4">
        <w:rPr>
          <w:rFonts w:cs="Calibri"/>
          <w:noProof/>
          <w:lang w:val="en-GB"/>
        </w:rPr>
        <w:tab/>
        <w:t>Rechel B, Roberts B, Richardson E, Shishkin S, Shkolnikov VM, Leon DA, et al. Health and health systems in the Commonwealth of Independent States. Lancet.</w:t>
      </w:r>
    </w:p>
    <w:p w:rsidR="00E968A4" w:rsidRPr="00656253" w:rsidRDefault="00E968A4" w:rsidP="00E968A4">
      <w:pPr>
        <w:pStyle w:val="Lijstalinea"/>
        <w:ind w:left="0"/>
        <w:rPr>
          <w:rFonts w:cs="Calibri"/>
          <w:noProof/>
          <w:lang w:val="nl-NL"/>
        </w:rPr>
      </w:pPr>
      <w:r w:rsidRPr="00E968A4">
        <w:rPr>
          <w:rFonts w:cs="Calibri"/>
          <w:noProof/>
          <w:lang w:val="en-GB"/>
        </w:rPr>
        <w:t>5.</w:t>
      </w:r>
      <w:r w:rsidRPr="00E968A4">
        <w:rPr>
          <w:rFonts w:cs="Calibri"/>
          <w:noProof/>
          <w:lang w:val="en-GB"/>
        </w:rPr>
        <w:tab/>
        <w:t xml:space="preserve">McMichael AJ, McKee M, Shkolnikov V, Valkonen T. Mortality trends and setbacks: global convergence or divergence? </w:t>
      </w:r>
      <w:r w:rsidRPr="00656253">
        <w:rPr>
          <w:rFonts w:cs="Calibri"/>
          <w:noProof/>
          <w:lang w:val="nl-NL"/>
        </w:rPr>
        <w:t>Lancet. 2004 Apr 3;363(9415):1155-9.</w:t>
      </w:r>
    </w:p>
    <w:p w:rsidR="00E968A4" w:rsidRPr="00E968A4" w:rsidRDefault="00E968A4" w:rsidP="00E968A4">
      <w:pPr>
        <w:pStyle w:val="Lijstalinea"/>
        <w:ind w:left="0"/>
        <w:rPr>
          <w:rFonts w:cs="Calibri"/>
          <w:noProof/>
          <w:lang w:val="en-GB"/>
        </w:rPr>
      </w:pPr>
      <w:r w:rsidRPr="00656253">
        <w:rPr>
          <w:rFonts w:cs="Calibri"/>
          <w:noProof/>
          <w:lang w:val="nl-NL"/>
        </w:rPr>
        <w:t>6.</w:t>
      </w:r>
      <w:r w:rsidRPr="00656253">
        <w:rPr>
          <w:rFonts w:cs="Calibri"/>
          <w:noProof/>
          <w:lang w:val="nl-NL"/>
        </w:rPr>
        <w:tab/>
        <w:t xml:space="preserve">Wolfe I, Thompson M, Gill P, Tamburlini G, Blair M, van den Bruel A, et al. </w:t>
      </w:r>
      <w:r w:rsidRPr="00E968A4">
        <w:rPr>
          <w:rFonts w:cs="Calibri"/>
          <w:noProof/>
          <w:lang w:val="en-GB"/>
        </w:rPr>
        <w:t>Children’s health services in Europe Lancet.</w:t>
      </w:r>
    </w:p>
    <w:p w:rsidR="00E968A4" w:rsidRPr="00E968A4" w:rsidRDefault="00E968A4" w:rsidP="00E968A4">
      <w:pPr>
        <w:pStyle w:val="Lijstalinea"/>
        <w:ind w:left="0"/>
        <w:rPr>
          <w:rFonts w:cs="Calibri"/>
          <w:noProof/>
          <w:lang w:val="en-GB"/>
        </w:rPr>
      </w:pPr>
      <w:r w:rsidRPr="00E968A4">
        <w:rPr>
          <w:rFonts w:cs="Calibri"/>
          <w:noProof/>
          <w:lang w:val="en-GB"/>
        </w:rPr>
        <w:t>7.</w:t>
      </w:r>
      <w:r w:rsidRPr="00E968A4">
        <w:rPr>
          <w:rFonts w:cs="Calibri"/>
          <w:noProof/>
          <w:lang w:val="en-GB"/>
        </w:rPr>
        <w:tab/>
        <w:t>Wolfe I, Cass H, Thompson MJ, Craft A, Peile E, Wiegersma PA, et al. Improving child health services in the UK: insights from Europe and their implications for the NHS reforms. BMJ. 2011;342:d1277.</w:t>
      </w:r>
    </w:p>
    <w:p w:rsidR="00E968A4" w:rsidRPr="00E968A4" w:rsidRDefault="00E968A4" w:rsidP="00E968A4">
      <w:pPr>
        <w:pStyle w:val="Lijstalinea"/>
        <w:ind w:left="0"/>
        <w:rPr>
          <w:rFonts w:cs="Calibri"/>
          <w:noProof/>
          <w:lang w:val="en-GB"/>
        </w:rPr>
      </w:pPr>
      <w:r w:rsidRPr="00E968A4">
        <w:rPr>
          <w:rFonts w:cs="Calibri"/>
          <w:noProof/>
          <w:lang w:val="en-GB"/>
        </w:rPr>
        <w:t>8.</w:t>
      </w:r>
      <w:r w:rsidRPr="00E968A4">
        <w:rPr>
          <w:rFonts w:cs="Calibri"/>
          <w:noProof/>
          <w:lang w:val="en-GB"/>
        </w:rPr>
        <w:tab/>
        <w:t>Rechel B, Mladovsky P, Ingleby D, Mackenbach J, McKee M. Migration and health in an increasingly diverse Europe. Lancet.</w:t>
      </w:r>
    </w:p>
    <w:p w:rsidR="00E968A4" w:rsidRPr="00E968A4" w:rsidRDefault="00E968A4" w:rsidP="00E968A4">
      <w:pPr>
        <w:pStyle w:val="Lijstalinea"/>
        <w:ind w:left="0"/>
        <w:rPr>
          <w:rFonts w:cs="Calibri"/>
          <w:noProof/>
          <w:lang w:val="en-GB"/>
        </w:rPr>
      </w:pPr>
      <w:r w:rsidRPr="00E968A4">
        <w:rPr>
          <w:rFonts w:cs="Calibri"/>
          <w:noProof/>
          <w:lang w:val="en-GB"/>
        </w:rPr>
        <w:t>9.</w:t>
      </w:r>
      <w:r w:rsidRPr="00E968A4">
        <w:rPr>
          <w:rFonts w:cs="Calibri"/>
          <w:noProof/>
          <w:lang w:val="en-GB"/>
        </w:rPr>
        <w:tab/>
        <w:t>Rechel B, Mladovsky P, Devillé W, Rijks B, Petrova-Benedict R, McKee M, editors. Migration and health in the European Union. Buckingham: Open University Press; 2011.</w:t>
      </w:r>
    </w:p>
    <w:p w:rsidR="00E968A4" w:rsidRPr="00E968A4" w:rsidRDefault="00E968A4" w:rsidP="00E968A4">
      <w:pPr>
        <w:pStyle w:val="Lijstalinea"/>
        <w:ind w:left="0"/>
        <w:rPr>
          <w:rFonts w:cs="Calibri"/>
          <w:noProof/>
          <w:lang w:val="en-GB"/>
        </w:rPr>
      </w:pPr>
      <w:r w:rsidRPr="00E968A4">
        <w:rPr>
          <w:rFonts w:cs="Calibri"/>
          <w:noProof/>
          <w:lang w:val="en-GB"/>
        </w:rPr>
        <w:t>10.</w:t>
      </w:r>
      <w:r w:rsidRPr="00E968A4">
        <w:rPr>
          <w:rFonts w:cs="Calibri"/>
          <w:noProof/>
          <w:lang w:val="en-GB"/>
        </w:rPr>
        <w:tab/>
        <w:t>Rechel B, Grundy E, Robine J-M, Cylus J, Mackenbach JP, Knai C, et al. Ageing in the European Union. Lancet.</w:t>
      </w:r>
    </w:p>
    <w:p w:rsidR="00E968A4" w:rsidRPr="00E968A4" w:rsidRDefault="00E968A4" w:rsidP="00E968A4">
      <w:pPr>
        <w:pStyle w:val="Lijstalinea"/>
        <w:ind w:left="0"/>
        <w:rPr>
          <w:rFonts w:cs="Calibri"/>
          <w:noProof/>
          <w:lang w:val="en-GB"/>
        </w:rPr>
      </w:pPr>
      <w:r w:rsidRPr="00E968A4">
        <w:rPr>
          <w:rFonts w:cs="Calibri"/>
          <w:noProof/>
          <w:lang w:val="en-GB"/>
        </w:rPr>
        <w:t>11.</w:t>
      </w:r>
      <w:r w:rsidRPr="00E968A4">
        <w:rPr>
          <w:rFonts w:cs="Calibri"/>
          <w:noProof/>
          <w:lang w:val="en-GB"/>
        </w:rPr>
        <w:tab/>
        <w:t>Doyle Y, McKee M, Rechel B, Grundy E. Meeting the challenge of population ageing. BMJ. 2009;339:b3926.</w:t>
      </w:r>
    </w:p>
    <w:p w:rsidR="00E968A4" w:rsidRPr="00E968A4" w:rsidRDefault="00E968A4" w:rsidP="00E968A4">
      <w:pPr>
        <w:pStyle w:val="Lijstalinea"/>
        <w:ind w:left="0"/>
        <w:rPr>
          <w:rFonts w:cs="Calibri"/>
          <w:noProof/>
          <w:lang w:val="en-GB"/>
        </w:rPr>
      </w:pPr>
      <w:r w:rsidRPr="00E968A4">
        <w:rPr>
          <w:rFonts w:cs="Calibri"/>
          <w:noProof/>
          <w:lang w:val="en-GB"/>
        </w:rPr>
        <w:t>12.</w:t>
      </w:r>
      <w:r w:rsidRPr="00E968A4">
        <w:rPr>
          <w:rFonts w:cs="Calibri"/>
          <w:noProof/>
          <w:lang w:val="en-GB"/>
        </w:rPr>
        <w:tab/>
        <w:t>Karanikolos M, Mladovsky P, Cylus J, Thomson S, Basu S, Stuckler D, et al. Financial crisis, austerity, and health in Europe. Lancet.</w:t>
      </w:r>
    </w:p>
    <w:p w:rsidR="00E968A4" w:rsidRPr="00E968A4" w:rsidRDefault="00E968A4" w:rsidP="00E968A4">
      <w:pPr>
        <w:pStyle w:val="Lijstalinea"/>
        <w:ind w:left="0"/>
        <w:rPr>
          <w:rFonts w:cs="Calibri"/>
          <w:noProof/>
          <w:lang w:val="en-GB"/>
        </w:rPr>
      </w:pPr>
      <w:r w:rsidRPr="00E968A4">
        <w:rPr>
          <w:rFonts w:cs="Calibri"/>
          <w:noProof/>
          <w:lang w:val="en-GB"/>
        </w:rPr>
        <w:t>13.</w:t>
      </w:r>
      <w:r w:rsidRPr="00E968A4">
        <w:rPr>
          <w:rFonts w:cs="Calibri"/>
          <w:noProof/>
          <w:lang w:val="en-GB"/>
        </w:rPr>
        <w:tab/>
        <w:t>Chenet L, McKee M, Otero A, Ausin I. What happened to life expectancy in Spain in the 1980s? J Epidemiol Community Health. 1997 Oct;51(5):510-4.</w:t>
      </w:r>
    </w:p>
    <w:p w:rsidR="00E968A4" w:rsidRPr="00E968A4" w:rsidRDefault="00E968A4" w:rsidP="00E968A4">
      <w:pPr>
        <w:pStyle w:val="Lijstalinea"/>
        <w:ind w:left="0"/>
        <w:rPr>
          <w:rFonts w:cs="Calibri"/>
          <w:noProof/>
          <w:lang w:val="en-GB"/>
        </w:rPr>
      </w:pPr>
      <w:r w:rsidRPr="00E968A4">
        <w:rPr>
          <w:rFonts w:cs="Calibri"/>
          <w:noProof/>
          <w:lang w:val="en-GB"/>
        </w:rPr>
        <w:lastRenderedPageBreak/>
        <w:t>14.</w:t>
      </w:r>
      <w:r w:rsidRPr="00E968A4">
        <w:rPr>
          <w:rFonts w:cs="Calibri"/>
          <w:noProof/>
          <w:lang w:val="en-GB"/>
        </w:rPr>
        <w:tab/>
        <w:t>Janssen F, Mackenbach JP, Kunst AE. Trends in old-age mortality in seven European countries, 1950-1999. Journal of clinical epidemiology. 2004 Feb;57(2):203-16.</w:t>
      </w:r>
    </w:p>
    <w:p w:rsidR="00E968A4" w:rsidRPr="00E968A4" w:rsidRDefault="00E968A4" w:rsidP="00E968A4">
      <w:pPr>
        <w:pStyle w:val="Lijstalinea"/>
        <w:ind w:left="0"/>
        <w:rPr>
          <w:rFonts w:cs="Calibri"/>
          <w:noProof/>
          <w:lang w:val="en-GB"/>
        </w:rPr>
      </w:pPr>
      <w:r w:rsidRPr="00E968A4">
        <w:rPr>
          <w:rFonts w:cs="Calibri"/>
          <w:noProof/>
          <w:lang w:val="en-GB"/>
        </w:rPr>
        <w:t>15.</w:t>
      </w:r>
      <w:r w:rsidRPr="00E968A4">
        <w:rPr>
          <w:rFonts w:cs="Calibri"/>
          <w:noProof/>
          <w:lang w:val="en-GB"/>
        </w:rPr>
        <w:tab/>
        <w:t>McCartney G, Mahmood L, Leyland AH, Batty GD, Hunt K. Contribution of smoking-related and alcohol-related deaths to the gender gap in mortality: evidence from 30 European countries. Tob Control. 2011 Mar;20(2):166-8.</w:t>
      </w:r>
    </w:p>
    <w:p w:rsidR="00E968A4" w:rsidRPr="00E968A4" w:rsidRDefault="00E968A4" w:rsidP="00E968A4">
      <w:pPr>
        <w:pStyle w:val="Lijstalinea"/>
        <w:ind w:left="0"/>
        <w:rPr>
          <w:rFonts w:cs="Calibri"/>
          <w:noProof/>
          <w:lang w:val="en-GB"/>
        </w:rPr>
      </w:pPr>
      <w:r w:rsidRPr="00E968A4">
        <w:rPr>
          <w:rFonts w:cs="Calibri"/>
          <w:noProof/>
          <w:lang w:val="en-GB"/>
        </w:rPr>
        <w:t>16.</w:t>
      </w:r>
      <w:r w:rsidRPr="00E968A4">
        <w:rPr>
          <w:rFonts w:cs="Calibri"/>
          <w:noProof/>
          <w:lang w:val="en-GB"/>
        </w:rPr>
        <w:tab/>
        <w:t>Leon DA. Trends in European life expectancy: a salutary view. International journal of epidemiology. 2011 Apr;40(2):271-7.</w:t>
      </w:r>
    </w:p>
    <w:p w:rsidR="00E968A4" w:rsidRPr="00E968A4" w:rsidRDefault="00E968A4" w:rsidP="00E968A4">
      <w:pPr>
        <w:pStyle w:val="Lijstalinea"/>
        <w:ind w:left="0"/>
        <w:rPr>
          <w:rFonts w:cs="Calibri"/>
          <w:noProof/>
          <w:lang w:val="en-GB"/>
        </w:rPr>
      </w:pPr>
      <w:r w:rsidRPr="00E968A4">
        <w:rPr>
          <w:rFonts w:cs="Calibri"/>
          <w:noProof/>
          <w:lang w:val="en-GB"/>
        </w:rPr>
        <w:t>17.</w:t>
      </w:r>
      <w:r w:rsidRPr="00E968A4">
        <w:rPr>
          <w:rFonts w:cs="Calibri"/>
          <w:noProof/>
          <w:lang w:val="en-GB"/>
        </w:rPr>
        <w:tab/>
        <w:t>Chenet L, McKee M, Fulop N, Bojan F, Brand H, Hort A, et al. Changing life expectancy in central Europe: is there a single reason? J Public Health Med. 1996 Sep;18(3):329-36.</w:t>
      </w:r>
    </w:p>
    <w:p w:rsidR="00E968A4" w:rsidRPr="00E968A4" w:rsidRDefault="00E968A4" w:rsidP="00E968A4">
      <w:pPr>
        <w:pStyle w:val="Lijstalinea"/>
        <w:ind w:left="0"/>
        <w:rPr>
          <w:rFonts w:cs="Calibri"/>
          <w:noProof/>
          <w:lang w:val="en-GB"/>
        </w:rPr>
      </w:pPr>
      <w:r w:rsidRPr="00E968A4">
        <w:rPr>
          <w:rFonts w:cs="Calibri"/>
          <w:noProof/>
          <w:lang w:val="en-GB"/>
        </w:rPr>
        <w:t>18.</w:t>
      </w:r>
      <w:r w:rsidRPr="00E968A4">
        <w:rPr>
          <w:rFonts w:cs="Calibri"/>
          <w:noProof/>
          <w:lang w:val="en-GB"/>
        </w:rPr>
        <w:tab/>
        <w:t>Leon DA, Chenet L, Shkolnikov VM, Zakharov S, Shapiro J, Rakhmanova G, et al. Huge variation in Russian mortality rates 1984-94: artefact, alcohol, or what? Lancet. 1997 Aug 9;350(9075):383-8.</w:t>
      </w:r>
    </w:p>
    <w:p w:rsidR="00E968A4" w:rsidRPr="00E968A4" w:rsidRDefault="00E968A4" w:rsidP="00E968A4">
      <w:pPr>
        <w:pStyle w:val="Lijstalinea"/>
        <w:ind w:left="0"/>
        <w:rPr>
          <w:rFonts w:cs="Calibri"/>
          <w:noProof/>
          <w:lang w:val="en-GB"/>
        </w:rPr>
      </w:pPr>
      <w:r w:rsidRPr="00E968A4">
        <w:rPr>
          <w:rFonts w:cs="Calibri"/>
          <w:noProof/>
          <w:lang w:val="en-GB"/>
        </w:rPr>
        <w:t>19.</w:t>
      </w:r>
      <w:r w:rsidRPr="00E968A4">
        <w:rPr>
          <w:rFonts w:cs="Calibri"/>
          <w:noProof/>
          <w:lang w:val="en-GB"/>
        </w:rPr>
        <w:tab/>
        <w:t>Shkolnikov V, McKee M, Leon DA. Changes in life expectancy in Russia in the mid-1990s. Lancet. 2001 Mar 24;357(9260):917-21.</w:t>
      </w:r>
    </w:p>
    <w:p w:rsidR="00E968A4" w:rsidRPr="00E968A4" w:rsidRDefault="00E968A4" w:rsidP="00E968A4">
      <w:pPr>
        <w:pStyle w:val="Lijstalinea"/>
        <w:ind w:left="0"/>
        <w:rPr>
          <w:rFonts w:cs="Calibri"/>
          <w:noProof/>
          <w:lang w:val="en-GB"/>
        </w:rPr>
      </w:pPr>
      <w:r w:rsidRPr="00E968A4">
        <w:rPr>
          <w:rFonts w:cs="Calibri"/>
          <w:noProof/>
          <w:lang w:val="en-GB"/>
        </w:rPr>
        <w:t>20.</w:t>
      </w:r>
      <w:r w:rsidRPr="00E968A4">
        <w:rPr>
          <w:rFonts w:cs="Calibri"/>
          <w:noProof/>
          <w:lang w:val="en-GB"/>
        </w:rPr>
        <w:tab/>
        <w:t>Stuckler D, King L, McKee M. Mass privatisation and the post-communist mortality crisis: a cross-national analysis. Lancet. 2009 Jan 31;373(9661):399-407.</w:t>
      </w:r>
    </w:p>
    <w:p w:rsidR="00E968A4" w:rsidRPr="00E968A4" w:rsidRDefault="00E968A4" w:rsidP="00E968A4">
      <w:pPr>
        <w:pStyle w:val="Lijstalinea"/>
        <w:ind w:left="0"/>
        <w:rPr>
          <w:rFonts w:cs="Calibri"/>
          <w:noProof/>
          <w:lang w:val="en-GB"/>
        </w:rPr>
      </w:pPr>
      <w:r w:rsidRPr="00E968A4">
        <w:rPr>
          <w:rFonts w:cs="Calibri"/>
          <w:noProof/>
          <w:lang w:val="en-GB"/>
        </w:rPr>
        <w:t>21.</w:t>
      </w:r>
      <w:r w:rsidRPr="00E968A4">
        <w:rPr>
          <w:rFonts w:cs="Calibri"/>
          <w:noProof/>
          <w:lang w:val="en-GB"/>
        </w:rPr>
        <w:tab/>
        <w:t>Preston SH. The changing relation between mortality and level of economic development.  Vol. 29, No. 2, July 1975. Popul Stud (Camb). 1975 Jun;29(2):231–48.</w:t>
      </w:r>
    </w:p>
    <w:p w:rsidR="00E968A4" w:rsidRPr="00E968A4" w:rsidRDefault="00E968A4" w:rsidP="00E968A4">
      <w:pPr>
        <w:pStyle w:val="Lijstalinea"/>
        <w:ind w:left="0"/>
        <w:rPr>
          <w:rFonts w:cs="Calibri"/>
          <w:noProof/>
          <w:lang w:val="en-GB"/>
        </w:rPr>
      </w:pPr>
      <w:r w:rsidRPr="00E968A4">
        <w:rPr>
          <w:rFonts w:cs="Calibri"/>
          <w:noProof/>
          <w:lang w:val="en-GB"/>
        </w:rPr>
        <w:t>22.</w:t>
      </w:r>
      <w:r w:rsidRPr="00E968A4">
        <w:rPr>
          <w:rFonts w:cs="Calibri"/>
          <w:noProof/>
          <w:lang w:val="en-GB"/>
        </w:rPr>
        <w:tab/>
        <w:t>Riley JC. Rising life expectancy. A global history. Cambridge: Cambridge University Press; 2001.</w:t>
      </w:r>
    </w:p>
    <w:p w:rsidR="00E968A4" w:rsidRPr="00E968A4" w:rsidRDefault="00E968A4" w:rsidP="00E968A4">
      <w:pPr>
        <w:pStyle w:val="Lijstalinea"/>
        <w:ind w:left="0"/>
        <w:rPr>
          <w:rFonts w:cs="Calibri"/>
          <w:noProof/>
          <w:lang w:val="en-GB"/>
        </w:rPr>
      </w:pPr>
      <w:r w:rsidRPr="00E968A4">
        <w:rPr>
          <w:rFonts w:cs="Calibri"/>
          <w:noProof/>
          <w:lang w:val="en-GB"/>
        </w:rPr>
        <w:t>23.</w:t>
      </w:r>
      <w:r w:rsidRPr="00E968A4">
        <w:rPr>
          <w:rFonts w:cs="Calibri"/>
          <w:noProof/>
          <w:lang w:val="en-GB"/>
        </w:rPr>
        <w:tab/>
        <w:t>Meslé F, Vallin J. Diverging Trends in Female Old-Age Mortality: The United States and the Netherlands versus France and Japan. Popul Dev Rev. 2006;32(1):123–45.</w:t>
      </w:r>
    </w:p>
    <w:p w:rsidR="00E968A4" w:rsidRPr="00E968A4" w:rsidRDefault="00E968A4" w:rsidP="00E968A4">
      <w:pPr>
        <w:pStyle w:val="Lijstalinea"/>
        <w:ind w:left="0"/>
        <w:rPr>
          <w:rFonts w:cs="Calibri"/>
          <w:noProof/>
          <w:lang w:val="en-GB"/>
        </w:rPr>
      </w:pPr>
      <w:r w:rsidRPr="00E968A4">
        <w:rPr>
          <w:rFonts w:cs="Calibri"/>
          <w:noProof/>
          <w:lang w:val="en-GB"/>
        </w:rPr>
        <w:t>24.</w:t>
      </w:r>
      <w:r w:rsidRPr="00E968A4">
        <w:rPr>
          <w:rFonts w:cs="Calibri"/>
          <w:noProof/>
          <w:lang w:val="en-GB"/>
        </w:rPr>
        <w:tab/>
        <w:t>Olshansky SJ, Ault AB. The fourth stage of the epidemiologic transition: the age of delayed degenerative diseases. The Milbank quarterly. 1986;64(3):355-91.</w:t>
      </w:r>
    </w:p>
    <w:p w:rsidR="00E968A4" w:rsidRPr="00E968A4" w:rsidRDefault="00E968A4" w:rsidP="00E968A4">
      <w:pPr>
        <w:pStyle w:val="Lijstalinea"/>
        <w:ind w:left="0"/>
        <w:rPr>
          <w:rFonts w:cs="Calibri"/>
          <w:noProof/>
          <w:lang w:val="en-GB"/>
        </w:rPr>
      </w:pPr>
      <w:r w:rsidRPr="00E968A4">
        <w:rPr>
          <w:rFonts w:cs="Calibri"/>
          <w:noProof/>
          <w:lang w:val="en-GB"/>
        </w:rPr>
        <w:t>25.</w:t>
      </w:r>
      <w:r w:rsidRPr="00E968A4">
        <w:rPr>
          <w:rFonts w:cs="Calibri"/>
          <w:noProof/>
          <w:lang w:val="en-GB"/>
        </w:rPr>
        <w:tab/>
        <w:t>Karanikolos M, Leon DA, Smith PC, McKee M. Minding the gap: changes in life expectancy in the Baltic States compared to Finland. J Epidemiol Comm Health. 2012;doi:10.1136/jech-2011-200879.</w:t>
      </w:r>
    </w:p>
    <w:p w:rsidR="00E968A4" w:rsidRPr="00E968A4" w:rsidRDefault="00E968A4" w:rsidP="00E968A4">
      <w:pPr>
        <w:pStyle w:val="Lijstalinea"/>
        <w:ind w:left="0"/>
        <w:rPr>
          <w:rFonts w:cs="Calibri"/>
          <w:noProof/>
          <w:lang w:val="en-GB"/>
        </w:rPr>
      </w:pPr>
      <w:r w:rsidRPr="00E968A4">
        <w:rPr>
          <w:rFonts w:cs="Calibri"/>
          <w:noProof/>
          <w:lang w:val="en-GB"/>
        </w:rPr>
        <w:t>26.</w:t>
      </w:r>
      <w:r w:rsidRPr="00E968A4">
        <w:rPr>
          <w:rFonts w:cs="Calibri"/>
          <w:noProof/>
          <w:lang w:val="en-GB"/>
        </w:rPr>
        <w:tab/>
        <w:t>Jasilionis D, Meslé F, Shkolnikov V, Vallin J. Recent life expectancy divergence in Baltic countries. European Journal of Population. 2011;27 (4):403-31.</w:t>
      </w:r>
    </w:p>
    <w:p w:rsidR="00E968A4" w:rsidRPr="00E968A4" w:rsidRDefault="00E968A4" w:rsidP="00E968A4">
      <w:pPr>
        <w:pStyle w:val="Lijstalinea"/>
        <w:ind w:left="0"/>
        <w:rPr>
          <w:rFonts w:cs="Calibri"/>
          <w:noProof/>
          <w:lang w:val="en-GB"/>
        </w:rPr>
      </w:pPr>
      <w:r w:rsidRPr="00E968A4">
        <w:rPr>
          <w:rFonts w:cs="Calibri"/>
          <w:noProof/>
          <w:lang w:val="en-GB"/>
        </w:rPr>
        <w:t>27.</w:t>
      </w:r>
      <w:r w:rsidRPr="00E968A4">
        <w:rPr>
          <w:rFonts w:cs="Calibri"/>
          <w:noProof/>
          <w:lang w:val="en-GB"/>
        </w:rPr>
        <w:tab/>
        <w:t>Badurashvili I, McKee M, Tsuladze G, Mesle F, Vallin J, Shkolnikov V. Where there are no data: what has happened to life expectancy in Georgia since 1990? Public Health. 2001 Nov;115(6):394-400.</w:t>
      </w:r>
    </w:p>
    <w:p w:rsidR="00E968A4" w:rsidRPr="00E968A4" w:rsidRDefault="00E968A4" w:rsidP="00E968A4">
      <w:pPr>
        <w:pStyle w:val="Lijstalinea"/>
        <w:ind w:left="0"/>
        <w:rPr>
          <w:rFonts w:cs="Calibri"/>
          <w:noProof/>
          <w:lang w:val="en-GB"/>
        </w:rPr>
      </w:pPr>
      <w:r w:rsidRPr="00E968A4">
        <w:rPr>
          <w:rFonts w:cs="Calibri"/>
          <w:noProof/>
          <w:lang w:val="en-GB"/>
        </w:rPr>
        <w:t>28.</w:t>
      </w:r>
      <w:r w:rsidRPr="00E968A4">
        <w:rPr>
          <w:rFonts w:cs="Calibri"/>
          <w:noProof/>
          <w:lang w:val="en-GB"/>
        </w:rPr>
        <w:tab/>
        <w:t>Unal B, Critchley JA, Capewell S. Modelling the decline in coronary heart disease deaths in England and Wales, 1981-2000: comparing contributions from primary prevention and secondary prevention. BMJ. 2005 Sep 17;331(7517):614.</w:t>
      </w:r>
    </w:p>
    <w:p w:rsidR="00E968A4" w:rsidRPr="00E968A4" w:rsidRDefault="00E968A4" w:rsidP="00E968A4">
      <w:pPr>
        <w:pStyle w:val="Lijstalinea"/>
        <w:ind w:left="0"/>
        <w:rPr>
          <w:rFonts w:cs="Calibri"/>
          <w:noProof/>
          <w:lang w:val="en-GB"/>
        </w:rPr>
      </w:pPr>
      <w:r w:rsidRPr="00E968A4">
        <w:rPr>
          <w:rFonts w:cs="Calibri"/>
          <w:noProof/>
          <w:lang w:val="en-GB"/>
        </w:rPr>
        <w:t>29.</w:t>
      </w:r>
      <w:r w:rsidRPr="00E968A4">
        <w:rPr>
          <w:rFonts w:cs="Calibri"/>
          <w:noProof/>
          <w:lang w:val="en-GB"/>
        </w:rPr>
        <w:tab/>
        <w:t>Kuulasmaa K, Tunstall-Pedoe H, Dobson A, Fortmann S, Sans S, Tolonen H, et al. Estimation of contribution of changes in classic risk factors to trends in coronary-event rates across the WHO MONICA Project populations. Lancet. 2000 Feb 26;355(9205):675-87.</w:t>
      </w:r>
    </w:p>
    <w:p w:rsidR="00E968A4" w:rsidRPr="00E968A4" w:rsidRDefault="00E968A4" w:rsidP="00E968A4">
      <w:pPr>
        <w:pStyle w:val="Lijstalinea"/>
        <w:ind w:left="0"/>
        <w:rPr>
          <w:rFonts w:cs="Calibri"/>
          <w:noProof/>
          <w:lang w:val="en-GB"/>
        </w:rPr>
      </w:pPr>
      <w:r w:rsidRPr="00E968A4">
        <w:rPr>
          <w:rFonts w:cs="Calibri"/>
          <w:noProof/>
          <w:lang w:val="en-GB"/>
        </w:rPr>
        <w:t>30.</w:t>
      </w:r>
      <w:r w:rsidRPr="00E968A4">
        <w:rPr>
          <w:rFonts w:cs="Calibri"/>
          <w:noProof/>
          <w:lang w:val="en-GB"/>
        </w:rPr>
        <w:tab/>
        <w:t>Laatikainen T, Critchley J, Vartiainen E, Salomaa V, Ketonen M, Capewell S. Explaining the decline in coronary heart disease mortality in Finland between 1982 and 1997. American journal of epidemiology. 2005 Oct 15;162(8):764-73.</w:t>
      </w:r>
    </w:p>
    <w:p w:rsidR="00E968A4" w:rsidRPr="00E968A4" w:rsidRDefault="00E968A4" w:rsidP="00E968A4">
      <w:pPr>
        <w:pStyle w:val="Lijstalinea"/>
        <w:ind w:left="0"/>
        <w:rPr>
          <w:rFonts w:cs="Calibri"/>
          <w:noProof/>
          <w:lang w:val="en-GB"/>
        </w:rPr>
      </w:pPr>
      <w:r w:rsidRPr="00E968A4">
        <w:rPr>
          <w:rFonts w:cs="Calibri"/>
          <w:noProof/>
          <w:lang w:val="en-GB"/>
        </w:rPr>
        <w:t>31.</w:t>
      </w:r>
      <w:r w:rsidRPr="00E968A4">
        <w:rPr>
          <w:rFonts w:cs="Calibri"/>
          <w:noProof/>
          <w:lang w:val="en-GB"/>
        </w:rPr>
        <w:tab/>
        <w:t>Joossens L, Raw M. The Tobacco Control Scale 2010 in Europe. Brussels: Association of European Cancer Leagues; 2011.</w:t>
      </w:r>
    </w:p>
    <w:p w:rsidR="00E968A4" w:rsidRPr="00E968A4" w:rsidRDefault="00E968A4" w:rsidP="00E968A4">
      <w:pPr>
        <w:pStyle w:val="Lijstalinea"/>
        <w:ind w:left="0"/>
        <w:rPr>
          <w:rFonts w:cs="Calibri"/>
          <w:noProof/>
          <w:lang w:val="en-GB"/>
        </w:rPr>
      </w:pPr>
      <w:r w:rsidRPr="00E968A4">
        <w:rPr>
          <w:rFonts w:cs="Calibri"/>
          <w:noProof/>
          <w:lang w:val="en-GB"/>
        </w:rPr>
        <w:t>32.</w:t>
      </w:r>
      <w:r w:rsidRPr="00E968A4">
        <w:rPr>
          <w:rFonts w:cs="Calibri"/>
          <w:noProof/>
          <w:lang w:val="en-GB"/>
        </w:rPr>
        <w:tab/>
        <w:t>Toshkov D. Policy Making Beyond Political Ideology: The Adoption of Smoking Bans in Europe. Public Administration. (in press).</w:t>
      </w:r>
    </w:p>
    <w:p w:rsidR="00E968A4" w:rsidRPr="00E968A4" w:rsidRDefault="00E968A4" w:rsidP="00E968A4">
      <w:pPr>
        <w:pStyle w:val="Lijstalinea"/>
        <w:ind w:left="0"/>
        <w:rPr>
          <w:rFonts w:cs="Calibri"/>
          <w:noProof/>
          <w:lang w:val="en-GB"/>
        </w:rPr>
      </w:pPr>
      <w:r w:rsidRPr="00E968A4">
        <w:rPr>
          <w:rFonts w:cs="Calibri"/>
          <w:noProof/>
          <w:lang w:val="en-GB"/>
        </w:rPr>
        <w:t>33.</w:t>
      </w:r>
      <w:r w:rsidRPr="00E968A4">
        <w:rPr>
          <w:rFonts w:cs="Calibri"/>
          <w:noProof/>
          <w:lang w:val="en-GB"/>
        </w:rPr>
        <w:tab/>
        <w:t>Gruning T, Gilmore AB, McKee M. Tobacco industry influence on science and scientists in Germany. Am J Public Health. 2006 Jan;96(1):20-32.</w:t>
      </w:r>
    </w:p>
    <w:p w:rsidR="00E968A4" w:rsidRPr="00E968A4" w:rsidRDefault="00E968A4" w:rsidP="00E968A4">
      <w:pPr>
        <w:pStyle w:val="Lijstalinea"/>
        <w:ind w:left="0"/>
        <w:rPr>
          <w:rFonts w:cs="Calibri"/>
          <w:noProof/>
          <w:lang w:val="en-GB"/>
        </w:rPr>
      </w:pPr>
      <w:r w:rsidRPr="00E968A4">
        <w:rPr>
          <w:rFonts w:cs="Calibri"/>
          <w:noProof/>
          <w:lang w:val="en-GB"/>
        </w:rPr>
        <w:lastRenderedPageBreak/>
        <w:t>34.</w:t>
      </w:r>
      <w:r w:rsidRPr="00E968A4">
        <w:rPr>
          <w:rFonts w:cs="Calibri"/>
          <w:noProof/>
          <w:lang w:val="en-GB"/>
        </w:rPr>
        <w:tab/>
        <w:t>Chenet L, Osler M, McKee M, Krasnik A. Changing life expectancy in the 1980s: why was Denmark different from Sweden? Journal of epidemiology and community health. 1996 Aug;50(4):404-7.</w:t>
      </w:r>
    </w:p>
    <w:p w:rsidR="00E968A4" w:rsidRPr="00E968A4" w:rsidRDefault="00E968A4" w:rsidP="00E968A4">
      <w:pPr>
        <w:pStyle w:val="Lijstalinea"/>
        <w:ind w:left="0"/>
        <w:rPr>
          <w:rFonts w:cs="Calibri"/>
          <w:noProof/>
          <w:lang w:val="en-GB"/>
        </w:rPr>
      </w:pPr>
      <w:r w:rsidRPr="00E968A4">
        <w:rPr>
          <w:rFonts w:cs="Calibri"/>
          <w:noProof/>
          <w:lang w:val="en-GB"/>
        </w:rPr>
        <w:t>35.</w:t>
      </w:r>
      <w:r w:rsidRPr="00E968A4">
        <w:rPr>
          <w:rFonts w:cs="Calibri"/>
          <w:noProof/>
          <w:lang w:val="en-GB"/>
        </w:rPr>
        <w:tab/>
        <w:t xml:space="preserve">Physicians for a Smoke-Free Canada. The Snus Experience. Lessons from Norway, Sweden and Canada on the public health consequences of widespread oral tobacco use. URL: </w:t>
      </w:r>
      <w:hyperlink r:id="rId8" w:history="1">
        <w:r w:rsidRPr="00E968A4">
          <w:rPr>
            <w:rStyle w:val="Hyperlink"/>
            <w:rFonts w:cs="Calibri"/>
            <w:noProof/>
            <w:lang w:val="en-GB"/>
          </w:rPr>
          <w:t>http://wwwsmoke-freeca/pdf_1/snus-comparative-experiencespdf</w:t>
        </w:r>
      </w:hyperlink>
      <w:r w:rsidRPr="00E968A4">
        <w:rPr>
          <w:rFonts w:cs="Calibri"/>
          <w:noProof/>
          <w:lang w:val="en-GB"/>
        </w:rPr>
        <w:t xml:space="preserve"> (accessed 15th October 2012). 2007.</w:t>
      </w:r>
    </w:p>
    <w:p w:rsidR="00E968A4" w:rsidRPr="00E968A4" w:rsidRDefault="00E968A4" w:rsidP="00E968A4">
      <w:pPr>
        <w:pStyle w:val="Lijstalinea"/>
        <w:ind w:left="0"/>
        <w:rPr>
          <w:rFonts w:cs="Calibri"/>
          <w:noProof/>
          <w:lang w:val="en-GB"/>
        </w:rPr>
      </w:pPr>
      <w:r w:rsidRPr="00E968A4">
        <w:rPr>
          <w:rFonts w:cs="Calibri"/>
          <w:noProof/>
          <w:lang w:val="en-GB"/>
        </w:rPr>
        <w:t>36.</w:t>
      </w:r>
      <w:r w:rsidRPr="00E968A4">
        <w:rPr>
          <w:rFonts w:cs="Calibri"/>
          <w:noProof/>
          <w:lang w:val="en-GB"/>
        </w:rPr>
        <w:tab/>
      </w:r>
      <w:r w:rsidRPr="00E968A4">
        <w:rPr>
          <w:rFonts w:cs="Calibri"/>
          <w:noProof/>
          <w:sz w:val="22"/>
          <w:lang w:val="en-GB"/>
        </w:rPr>
        <w:t>Karlsson T</w:t>
      </w:r>
      <w:r w:rsidRPr="00E968A4">
        <w:rPr>
          <w:rFonts w:cs="Calibri"/>
          <w:noProof/>
          <w:lang w:val="en-GB"/>
        </w:rPr>
        <w:t xml:space="preserve">, </w:t>
      </w:r>
      <w:r w:rsidRPr="00E968A4">
        <w:rPr>
          <w:rFonts w:cs="Calibri"/>
          <w:noProof/>
          <w:sz w:val="22"/>
          <w:lang w:val="en-GB"/>
        </w:rPr>
        <w:t>Österberg E</w:t>
      </w:r>
      <w:r w:rsidRPr="00E968A4">
        <w:rPr>
          <w:rFonts w:cs="Calibri"/>
          <w:noProof/>
          <w:lang w:val="en-GB"/>
        </w:rPr>
        <w:t xml:space="preserve">. </w:t>
      </w:r>
      <w:r w:rsidRPr="00E968A4">
        <w:rPr>
          <w:rFonts w:cs="Calibri"/>
          <w:noProof/>
          <w:sz w:val="22"/>
          <w:lang w:val="en-GB"/>
        </w:rPr>
        <w:t>Country reports and country profiles.Third meeting of network</w:t>
      </w:r>
      <w:r w:rsidRPr="00E968A4">
        <w:rPr>
          <w:rFonts w:cs="Calibri"/>
          <w:noProof/>
          <w:lang w:val="en-GB"/>
        </w:rPr>
        <w:t xml:space="preserve">. </w:t>
      </w:r>
      <w:r w:rsidRPr="00E968A4">
        <w:rPr>
          <w:rFonts w:cs="Calibri"/>
          <w:noProof/>
          <w:sz w:val="22"/>
          <w:lang w:val="en-GB"/>
        </w:rPr>
        <w:t>Barcelona</w:t>
      </w:r>
      <w:r w:rsidRPr="00E968A4">
        <w:rPr>
          <w:rFonts w:cs="Calibri"/>
          <w:noProof/>
          <w:lang w:val="en-GB"/>
        </w:rPr>
        <w:t xml:space="preserve">: </w:t>
      </w:r>
      <w:r w:rsidRPr="00E968A4">
        <w:rPr>
          <w:rFonts w:cs="Calibri"/>
          <w:noProof/>
          <w:sz w:val="22"/>
          <w:lang w:val="en-GB"/>
        </w:rPr>
        <w:t>Eurocare bridging the gap (BtG) project</w:t>
      </w:r>
      <w:r w:rsidRPr="00E968A4">
        <w:rPr>
          <w:rFonts w:cs="Calibri"/>
          <w:noProof/>
          <w:lang w:val="en-GB"/>
        </w:rPr>
        <w:t>; 2006.</w:t>
      </w:r>
    </w:p>
    <w:p w:rsidR="00E968A4" w:rsidRPr="00E968A4" w:rsidRDefault="00E968A4" w:rsidP="00E968A4">
      <w:pPr>
        <w:pStyle w:val="Lijstalinea"/>
        <w:ind w:left="0"/>
        <w:rPr>
          <w:rFonts w:cs="Calibri"/>
          <w:noProof/>
          <w:lang w:val="en-GB"/>
        </w:rPr>
      </w:pPr>
      <w:r w:rsidRPr="00E968A4">
        <w:rPr>
          <w:rFonts w:cs="Calibri"/>
          <w:noProof/>
          <w:lang w:val="en-GB"/>
        </w:rPr>
        <w:t>37.</w:t>
      </w:r>
      <w:r w:rsidRPr="00E968A4">
        <w:rPr>
          <w:rFonts w:cs="Calibri"/>
          <w:noProof/>
          <w:lang w:val="en-GB"/>
        </w:rPr>
        <w:tab/>
        <w:t>Jackson MC, Hastings G, Wheeler C, Eadie D, Mackintosh AM. Marketing alcohol to young people: implications for industry regulation and research policy. Addiction. 2000 Dec;95 Suppl 4:S597-608.</w:t>
      </w:r>
    </w:p>
    <w:p w:rsidR="00E968A4" w:rsidRPr="00E968A4" w:rsidRDefault="00E968A4" w:rsidP="00E968A4">
      <w:pPr>
        <w:pStyle w:val="Lijstalinea"/>
        <w:ind w:left="0"/>
        <w:rPr>
          <w:rFonts w:cs="Calibri"/>
          <w:noProof/>
          <w:lang w:val="en-GB"/>
        </w:rPr>
      </w:pPr>
      <w:r w:rsidRPr="00E968A4">
        <w:rPr>
          <w:rFonts w:cs="Calibri"/>
          <w:noProof/>
          <w:lang w:val="en-GB"/>
        </w:rPr>
        <w:t>38.</w:t>
      </w:r>
      <w:r w:rsidRPr="00E968A4">
        <w:rPr>
          <w:rFonts w:cs="Calibri"/>
          <w:noProof/>
          <w:lang w:val="en-GB"/>
        </w:rPr>
        <w:tab/>
        <w:t>Bosetti C, Levi F, Lucchini F, Zatonski WA, Negri E, La Vecchia C. Worldwide mortality from cirrhosis: an update to 2002. J Hepatol. 2007 May;46(5):827-39.</w:t>
      </w:r>
    </w:p>
    <w:p w:rsidR="00E968A4" w:rsidRPr="00E968A4" w:rsidRDefault="00E968A4" w:rsidP="00E968A4">
      <w:pPr>
        <w:pStyle w:val="Lijstalinea"/>
        <w:ind w:left="0"/>
        <w:rPr>
          <w:rFonts w:cs="Calibri"/>
          <w:noProof/>
          <w:lang w:val="en-GB"/>
        </w:rPr>
      </w:pPr>
      <w:r w:rsidRPr="00E968A4">
        <w:rPr>
          <w:rFonts w:cs="Calibri"/>
          <w:noProof/>
          <w:lang w:val="en-GB"/>
        </w:rPr>
        <w:t>39.</w:t>
      </w:r>
      <w:r w:rsidRPr="00E968A4">
        <w:rPr>
          <w:rFonts w:cs="Calibri"/>
          <w:noProof/>
          <w:lang w:val="en-GB"/>
        </w:rPr>
        <w:tab/>
        <w:t>Leon DA, McCambridge J. Liver cirrhosis mortality rates in Britain from 1950 to 2002: an analysis of routine data. Lancet. 2006 Jan 7;367(9504):52-6.</w:t>
      </w:r>
    </w:p>
    <w:p w:rsidR="00E968A4" w:rsidRPr="00E968A4" w:rsidRDefault="00E968A4" w:rsidP="00E968A4">
      <w:pPr>
        <w:pStyle w:val="Lijstalinea"/>
        <w:ind w:left="0"/>
        <w:rPr>
          <w:rFonts w:cs="Calibri"/>
          <w:noProof/>
          <w:lang w:val="en-GB"/>
        </w:rPr>
      </w:pPr>
      <w:r w:rsidRPr="00E968A4">
        <w:rPr>
          <w:rFonts w:cs="Calibri"/>
          <w:noProof/>
          <w:lang w:val="en-GB"/>
        </w:rPr>
        <w:t>40.</w:t>
      </w:r>
      <w:r w:rsidRPr="00E968A4">
        <w:rPr>
          <w:rFonts w:cs="Calibri"/>
          <w:noProof/>
          <w:lang w:val="en-GB"/>
        </w:rPr>
        <w:tab/>
        <w:t>Osterberg EL. Alcohol tax changes and the use of alcohol in Europe. Drug Alcohol Rev. 2011 Mar;30(2):124-9.</w:t>
      </w:r>
    </w:p>
    <w:p w:rsidR="00E968A4" w:rsidRPr="00E968A4" w:rsidRDefault="00E968A4" w:rsidP="00E968A4">
      <w:pPr>
        <w:pStyle w:val="Lijstalinea"/>
        <w:ind w:left="0"/>
        <w:rPr>
          <w:rFonts w:cs="Calibri"/>
          <w:noProof/>
          <w:lang w:val="en-GB"/>
        </w:rPr>
      </w:pPr>
      <w:r w:rsidRPr="00E968A4">
        <w:rPr>
          <w:rFonts w:cs="Calibri"/>
          <w:noProof/>
          <w:lang w:val="en-GB"/>
        </w:rPr>
        <w:t>41.</w:t>
      </w:r>
      <w:r w:rsidRPr="00E968A4">
        <w:rPr>
          <w:rFonts w:cs="Calibri"/>
          <w:noProof/>
          <w:lang w:val="en-GB"/>
        </w:rPr>
        <w:tab/>
        <w:t>Herttua K, Makela P, Martikainen P. An evaluation of the impact of a large reduction in alcohol prices on alcohol-related and all-cause mortality: time series analysis of a population-based natural experiment. International journal of epidemiology. 2011 Apr;40(2):441-54.</w:t>
      </w:r>
    </w:p>
    <w:p w:rsidR="00E968A4" w:rsidRPr="00E968A4" w:rsidRDefault="00E968A4" w:rsidP="00E968A4">
      <w:pPr>
        <w:pStyle w:val="Lijstalinea"/>
        <w:ind w:left="0"/>
        <w:rPr>
          <w:rFonts w:cs="Calibri"/>
          <w:noProof/>
          <w:lang w:val="en-GB"/>
        </w:rPr>
      </w:pPr>
      <w:r w:rsidRPr="00E968A4">
        <w:rPr>
          <w:rFonts w:cs="Calibri"/>
          <w:noProof/>
          <w:lang w:val="en-GB"/>
        </w:rPr>
        <w:t>42.</w:t>
      </w:r>
      <w:r w:rsidRPr="00E968A4">
        <w:rPr>
          <w:rFonts w:cs="Calibri"/>
          <w:noProof/>
          <w:lang w:val="en-GB"/>
        </w:rPr>
        <w:tab/>
        <w:t xml:space="preserve">Jeffreys B. Finland's u-turn on alcohol tax. URL: </w:t>
      </w:r>
      <w:hyperlink r:id="rId9" w:history="1">
        <w:r w:rsidRPr="00E968A4">
          <w:rPr>
            <w:rStyle w:val="Hyperlink"/>
            <w:rFonts w:cs="Calibri"/>
            <w:noProof/>
            <w:lang w:val="en-GB"/>
          </w:rPr>
          <w:t>http://news.bbc.co.uk/2/hi/health/7846842.stm</w:t>
        </w:r>
      </w:hyperlink>
      <w:r w:rsidRPr="00E968A4">
        <w:rPr>
          <w:rFonts w:cs="Calibri"/>
          <w:noProof/>
          <w:lang w:val="en-GB"/>
        </w:rPr>
        <w:t xml:space="preserve"> (accessed 25 May 2012). 2009.</w:t>
      </w:r>
    </w:p>
    <w:p w:rsidR="00E968A4" w:rsidRPr="00E968A4" w:rsidRDefault="00E968A4" w:rsidP="00E968A4">
      <w:pPr>
        <w:pStyle w:val="Lijstalinea"/>
        <w:ind w:left="0"/>
        <w:rPr>
          <w:rFonts w:cs="Calibri"/>
          <w:noProof/>
          <w:lang w:val="en-GB"/>
        </w:rPr>
      </w:pPr>
      <w:r w:rsidRPr="00E968A4">
        <w:rPr>
          <w:rFonts w:cs="Calibri"/>
          <w:noProof/>
          <w:lang w:val="en-GB"/>
        </w:rPr>
        <w:t>43.</w:t>
      </w:r>
      <w:r w:rsidRPr="00E968A4">
        <w:rPr>
          <w:rFonts w:cs="Calibri"/>
          <w:noProof/>
          <w:lang w:val="en-GB"/>
        </w:rPr>
        <w:tab/>
        <w:t>de Lorgeril M, Salen P. The Mediterranean diet: rationale and evidence for its benefit. Curr Atheroscler Rep. 2008 Dec;10(6):518-22.</w:t>
      </w:r>
    </w:p>
    <w:p w:rsidR="00E968A4" w:rsidRPr="00E968A4" w:rsidRDefault="00E968A4" w:rsidP="00E968A4">
      <w:pPr>
        <w:pStyle w:val="Lijstalinea"/>
        <w:ind w:left="0"/>
        <w:rPr>
          <w:rFonts w:cs="Calibri"/>
          <w:noProof/>
          <w:lang w:val="en-GB"/>
        </w:rPr>
      </w:pPr>
      <w:r w:rsidRPr="00E968A4">
        <w:rPr>
          <w:rFonts w:cs="Calibri"/>
          <w:noProof/>
          <w:lang w:val="en-GB"/>
        </w:rPr>
        <w:t>44.</w:t>
      </w:r>
      <w:r w:rsidRPr="00E968A4">
        <w:rPr>
          <w:rFonts w:cs="Calibri"/>
          <w:noProof/>
          <w:lang w:val="en-GB"/>
        </w:rPr>
        <w:tab/>
        <w:t>Elmadfa I. European nutrition and health report 2009. Basel etc. : Karger; 2009.</w:t>
      </w:r>
    </w:p>
    <w:p w:rsidR="00E968A4" w:rsidRPr="00E968A4" w:rsidRDefault="00E968A4" w:rsidP="00E968A4">
      <w:pPr>
        <w:pStyle w:val="Lijstalinea"/>
        <w:ind w:left="0"/>
        <w:rPr>
          <w:rFonts w:cs="Calibri"/>
          <w:noProof/>
          <w:lang w:val="en-GB"/>
        </w:rPr>
      </w:pPr>
      <w:r w:rsidRPr="00E968A4">
        <w:rPr>
          <w:rFonts w:cs="Calibri"/>
          <w:noProof/>
          <w:lang w:val="en-GB"/>
        </w:rPr>
        <w:t>45.</w:t>
      </w:r>
      <w:r w:rsidRPr="00E968A4">
        <w:rPr>
          <w:rFonts w:cs="Calibri"/>
          <w:noProof/>
          <w:lang w:val="en-GB"/>
        </w:rPr>
        <w:tab/>
        <w:t>Vartiainen E, Laatikainen T, Peltonen M, Juolevi A, Mannisto S, Sundvall J, et al. Thirty-five-year trends in cardiovascular risk factors in Finland. International journal of epidemiology. 2010 Apr;39(2):504-18.</w:t>
      </w:r>
    </w:p>
    <w:p w:rsidR="00E968A4" w:rsidRPr="00E968A4" w:rsidRDefault="00E968A4" w:rsidP="00E968A4">
      <w:pPr>
        <w:pStyle w:val="Lijstalinea"/>
        <w:ind w:left="0"/>
        <w:rPr>
          <w:rFonts w:cs="Calibri"/>
          <w:noProof/>
          <w:lang w:val="en-GB"/>
        </w:rPr>
      </w:pPr>
      <w:r w:rsidRPr="00E968A4">
        <w:rPr>
          <w:rFonts w:cs="Calibri"/>
          <w:noProof/>
          <w:lang w:val="en-GB"/>
        </w:rPr>
        <w:t>46.</w:t>
      </w:r>
      <w:r w:rsidRPr="00E968A4">
        <w:rPr>
          <w:rFonts w:cs="Calibri"/>
          <w:noProof/>
          <w:lang w:val="en-GB"/>
        </w:rPr>
        <w:tab/>
        <w:t>Leth T, Jensen HG, Mikkelsen AÆ, Bysted A. The effect of the regulation on trans fatty acid content in Danish food. Atherosclerosis Supplements. 2006;7(2):53-6.</w:t>
      </w:r>
    </w:p>
    <w:p w:rsidR="00E968A4" w:rsidRPr="00E968A4" w:rsidRDefault="00E968A4" w:rsidP="00E968A4">
      <w:pPr>
        <w:pStyle w:val="Lijstalinea"/>
        <w:ind w:left="0"/>
        <w:rPr>
          <w:rFonts w:cs="Calibri"/>
          <w:noProof/>
          <w:lang w:val="en-GB"/>
        </w:rPr>
      </w:pPr>
      <w:r w:rsidRPr="00E968A4">
        <w:rPr>
          <w:rFonts w:cs="Calibri"/>
          <w:noProof/>
          <w:lang w:val="en-GB"/>
        </w:rPr>
        <w:t>47.</w:t>
      </w:r>
      <w:r w:rsidRPr="00E968A4">
        <w:rPr>
          <w:rFonts w:cs="Calibri"/>
          <w:noProof/>
          <w:lang w:val="en-GB"/>
        </w:rPr>
        <w:tab/>
        <w:t>Racioppi F. Preventing road traffic injury: a public health perspective for Europe. Copenhagen: WHO Regional Office for Europe 2004.</w:t>
      </w:r>
    </w:p>
    <w:p w:rsidR="00E968A4" w:rsidRPr="00E968A4" w:rsidRDefault="00E968A4" w:rsidP="00E968A4">
      <w:pPr>
        <w:pStyle w:val="Lijstalinea"/>
        <w:ind w:left="0"/>
        <w:rPr>
          <w:rFonts w:cs="Calibri"/>
          <w:noProof/>
          <w:lang w:val="en-GB"/>
        </w:rPr>
      </w:pPr>
      <w:r w:rsidRPr="00E968A4">
        <w:rPr>
          <w:rFonts w:cs="Calibri"/>
          <w:noProof/>
          <w:lang w:val="en-GB"/>
        </w:rPr>
        <w:t>48.</w:t>
      </w:r>
      <w:r w:rsidRPr="00E968A4">
        <w:rPr>
          <w:rFonts w:cs="Calibri"/>
          <w:noProof/>
          <w:lang w:val="en-GB"/>
        </w:rPr>
        <w:tab/>
        <w:t>World Health Organization. European status report on road safety. . Copenhagen: WHO Regional Office for Europe; 2009.</w:t>
      </w:r>
    </w:p>
    <w:p w:rsidR="00E968A4" w:rsidRPr="00656253" w:rsidRDefault="00E968A4" w:rsidP="00E968A4">
      <w:pPr>
        <w:pStyle w:val="Lijstalinea"/>
        <w:ind w:left="0"/>
        <w:rPr>
          <w:rFonts w:cs="Calibri"/>
          <w:noProof/>
          <w:lang w:val="nl-NL"/>
        </w:rPr>
      </w:pPr>
      <w:r w:rsidRPr="00E968A4">
        <w:rPr>
          <w:rFonts w:cs="Calibri"/>
          <w:noProof/>
          <w:lang w:val="en-GB"/>
        </w:rPr>
        <w:t>49.</w:t>
      </w:r>
      <w:r w:rsidRPr="00E968A4">
        <w:rPr>
          <w:rFonts w:cs="Calibri"/>
          <w:noProof/>
          <w:lang w:val="en-GB"/>
        </w:rPr>
        <w:tab/>
        <w:t xml:space="preserve">Belin MA, Tillgren P, Vedung E. Vision Zero - a road safety policy innovation. </w:t>
      </w:r>
      <w:r w:rsidRPr="00656253">
        <w:rPr>
          <w:rFonts w:cs="Calibri"/>
          <w:noProof/>
          <w:lang w:val="nl-NL"/>
        </w:rPr>
        <w:t>Int J Inj Contr Saf Promot. 2011 Dec 14.</w:t>
      </w:r>
    </w:p>
    <w:p w:rsidR="00E968A4" w:rsidRPr="00E968A4" w:rsidRDefault="00E968A4" w:rsidP="00E968A4">
      <w:pPr>
        <w:pStyle w:val="Lijstalinea"/>
        <w:ind w:left="0"/>
        <w:rPr>
          <w:rFonts w:cs="Calibri"/>
          <w:noProof/>
          <w:lang w:val="en-GB"/>
        </w:rPr>
      </w:pPr>
      <w:r w:rsidRPr="00656253">
        <w:rPr>
          <w:rFonts w:cs="Calibri"/>
          <w:noProof/>
          <w:lang w:val="nl-NL"/>
        </w:rPr>
        <w:t>50.</w:t>
      </w:r>
      <w:r w:rsidRPr="00656253">
        <w:rPr>
          <w:rFonts w:cs="Calibri"/>
          <w:noProof/>
          <w:lang w:val="nl-NL"/>
        </w:rPr>
        <w:tab/>
        <w:t xml:space="preserve">Weijermars WAM, van Schagen INLG. </w:t>
      </w:r>
      <w:r w:rsidRPr="00E968A4">
        <w:rPr>
          <w:rFonts w:cs="Calibri"/>
          <w:noProof/>
          <w:lang w:val="en-GB"/>
        </w:rPr>
        <w:t>Tien jaar Duurzaam Veilig: verkeersveiligheidsbalans 1998–2007 [Ten years of Sustainable Safety; Road Safety Assessment 1998–2007] (in Dutch). Leidschendam: SWOV; 2009.</w:t>
      </w:r>
    </w:p>
    <w:p w:rsidR="00E968A4" w:rsidRPr="00E968A4" w:rsidRDefault="00E968A4" w:rsidP="00E968A4">
      <w:pPr>
        <w:pStyle w:val="Lijstalinea"/>
        <w:ind w:left="0"/>
        <w:rPr>
          <w:rFonts w:cs="Calibri"/>
          <w:noProof/>
          <w:lang w:val="en-GB"/>
        </w:rPr>
      </w:pPr>
      <w:r w:rsidRPr="00E968A4">
        <w:rPr>
          <w:rFonts w:cs="Calibri"/>
          <w:noProof/>
          <w:lang w:val="en-GB"/>
        </w:rPr>
        <w:t>51.</w:t>
      </w:r>
      <w:r w:rsidRPr="00E968A4">
        <w:rPr>
          <w:rFonts w:cs="Calibri"/>
          <w:noProof/>
          <w:lang w:val="en-GB"/>
        </w:rPr>
        <w:tab/>
        <w:t>Dolea C, Nolte E, McKee M. Changing life expectancy in Romania after the transition. J Epidemiol Community Health. 2002 Jun;56(6):444-9.</w:t>
      </w:r>
    </w:p>
    <w:p w:rsidR="00E968A4" w:rsidRPr="00E968A4" w:rsidRDefault="00E968A4" w:rsidP="00E968A4">
      <w:pPr>
        <w:pStyle w:val="Lijstalinea"/>
        <w:ind w:left="0"/>
        <w:rPr>
          <w:rFonts w:cs="Calibri"/>
          <w:noProof/>
          <w:lang w:val="en-GB"/>
        </w:rPr>
      </w:pPr>
      <w:r w:rsidRPr="00E968A4">
        <w:rPr>
          <w:rFonts w:cs="Calibri"/>
          <w:noProof/>
          <w:lang w:val="en-GB"/>
        </w:rPr>
        <w:t>52.</w:t>
      </w:r>
      <w:r w:rsidRPr="00E968A4">
        <w:rPr>
          <w:rFonts w:cs="Calibri"/>
          <w:noProof/>
          <w:lang w:val="en-GB"/>
        </w:rPr>
        <w:tab/>
        <w:t>Gilmore AB, McKee M. Moving East: how the transnational tobacco industry gained entry to the emerging markets of the former Soviet Union-part II: an overview of priorities and tactics used to establish a manufacturing presence. Tob Control. 2004 Jun;13(2):151-60.</w:t>
      </w:r>
    </w:p>
    <w:p w:rsidR="00E968A4" w:rsidRPr="00E968A4" w:rsidRDefault="00E968A4" w:rsidP="00E968A4">
      <w:pPr>
        <w:pStyle w:val="Lijstalinea"/>
        <w:ind w:left="0"/>
        <w:rPr>
          <w:rFonts w:cs="Calibri"/>
          <w:noProof/>
          <w:lang w:val="en-GB"/>
        </w:rPr>
      </w:pPr>
      <w:r w:rsidRPr="00E968A4">
        <w:rPr>
          <w:rFonts w:cs="Calibri"/>
          <w:noProof/>
          <w:lang w:val="en-GB"/>
        </w:rPr>
        <w:lastRenderedPageBreak/>
        <w:t>53.</w:t>
      </w:r>
      <w:r w:rsidRPr="00E968A4">
        <w:rPr>
          <w:rFonts w:cs="Calibri"/>
          <w:noProof/>
          <w:lang w:val="en-GB"/>
        </w:rPr>
        <w:tab/>
        <w:t>Perlman F, Bobak M, Gilmore A, McKee M. Trends in the prevalence of smoking in Russia during the transition to a market economy. Tob Control. 2007 Oct;16(5):299-305.</w:t>
      </w:r>
    </w:p>
    <w:p w:rsidR="00E968A4" w:rsidRPr="00E968A4" w:rsidRDefault="00E968A4" w:rsidP="00E968A4">
      <w:pPr>
        <w:pStyle w:val="Lijstalinea"/>
        <w:ind w:left="0"/>
        <w:rPr>
          <w:rFonts w:cs="Calibri"/>
          <w:noProof/>
          <w:lang w:val="en-GB"/>
        </w:rPr>
      </w:pPr>
      <w:r w:rsidRPr="00E968A4">
        <w:rPr>
          <w:rFonts w:cs="Calibri"/>
          <w:noProof/>
          <w:lang w:val="en-GB"/>
        </w:rPr>
        <w:t>54.</w:t>
      </w:r>
      <w:r w:rsidRPr="00E968A4">
        <w:rPr>
          <w:rFonts w:cs="Calibri"/>
          <w:noProof/>
          <w:lang w:val="en-GB"/>
        </w:rPr>
        <w:tab/>
        <w:t>Gil A, Polikina O, Koroleva N, McKee M, Tomkins S, Leon DA. Availability and characteristics of nonbeverage alcohols sold in 17 Russian cities in 2007. Alcohol Clin Exp Res. 2009 Jan;33(1):79-85.</w:t>
      </w:r>
    </w:p>
    <w:p w:rsidR="00E968A4" w:rsidRPr="00E968A4" w:rsidRDefault="00E968A4" w:rsidP="00E968A4">
      <w:pPr>
        <w:pStyle w:val="Lijstalinea"/>
        <w:ind w:left="0"/>
        <w:rPr>
          <w:rFonts w:cs="Calibri"/>
          <w:noProof/>
          <w:lang w:val="en-GB"/>
        </w:rPr>
      </w:pPr>
      <w:r w:rsidRPr="00E968A4">
        <w:rPr>
          <w:rFonts w:cs="Calibri"/>
          <w:noProof/>
          <w:lang w:val="en-GB"/>
        </w:rPr>
        <w:t>55.</w:t>
      </w:r>
      <w:r w:rsidRPr="00E968A4">
        <w:rPr>
          <w:rFonts w:cs="Calibri"/>
          <w:noProof/>
          <w:lang w:val="en-GB"/>
        </w:rPr>
        <w:tab/>
        <w:t>Leon DA, Shkolnikov VM, McKee M, Kiryanov N, Andreev E. Alcohol increases circulatory disease mortality in Russia: acute and chronic effects or misattribution of cause? International journal of epidemiology. 2010 Oct;39(5):1279-90.</w:t>
      </w:r>
    </w:p>
    <w:p w:rsidR="00E968A4" w:rsidRPr="00E968A4" w:rsidRDefault="00E968A4" w:rsidP="00E968A4">
      <w:pPr>
        <w:pStyle w:val="Lijstalinea"/>
        <w:ind w:left="0"/>
        <w:rPr>
          <w:rFonts w:cs="Calibri"/>
          <w:noProof/>
          <w:lang w:val="en-GB"/>
        </w:rPr>
      </w:pPr>
      <w:r w:rsidRPr="00E968A4">
        <w:rPr>
          <w:rFonts w:cs="Calibri"/>
          <w:noProof/>
          <w:lang w:val="en-GB"/>
        </w:rPr>
        <w:t>56.</w:t>
      </w:r>
      <w:r w:rsidRPr="00E968A4">
        <w:rPr>
          <w:rFonts w:cs="Calibri"/>
          <w:noProof/>
          <w:lang w:val="en-GB"/>
        </w:rPr>
        <w:tab/>
        <w:t>Levintova M. Russian alcohol policy in the making. Alcohol Alcohol. 2007 Sep-Oct;42(5):500-5.</w:t>
      </w:r>
    </w:p>
    <w:p w:rsidR="00E968A4" w:rsidRPr="00E968A4" w:rsidRDefault="00E968A4" w:rsidP="00E968A4">
      <w:pPr>
        <w:pStyle w:val="Lijstalinea"/>
        <w:ind w:left="0"/>
        <w:rPr>
          <w:rFonts w:cs="Calibri"/>
          <w:noProof/>
          <w:lang w:val="en-GB"/>
        </w:rPr>
      </w:pPr>
      <w:r w:rsidRPr="00E968A4">
        <w:rPr>
          <w:rFonts w:cs="Calibri"/>
          <w:noProof/>
          <w:lang w:val="en-GB"/>
        </w:rPr>
        <w:t>57.</w:t>
      </w:r>
      <w:r w:rsidRPr="00E968A4">
        <w:rPr>
          <w:rFonts w:cs="Calibri"/>
          <w:noProof/>
          <w:lang w:val="en-GB"/>
        </w:rPr>
        <w:tab/>
        <w:t>Vitek CR, Wharton M. Diphtheria in the former Soviet Union: reemergence of a pandemic disease. Emerg Infect Dis. 1998 Oct-Dec;4(4):539-50.</w:t>
      </w:r>
    </w:p>
    <w:p w:rsidR="00E968A4" w:rsidRPr="00E968A4" w:rsidRDefault="00E968A4" w:rsidP="00E968A4">
      <w:pPr>
        <w:pStyle w:val="Lijstalinea"/>
        <w:ind w:left="0"/>
        <w:rPr>
          <w:rFonts w:cs="Calibri"/>
          <w:noProof/>
          <w:lang w:val="en-GB"/>
        </w:rPr>
      </w:pPr>
      <w:r w:rsidRPr="00E968A4">
        <w:rPr>
          <w:rFonts w:cs="Calibri"/>
          <w:noProof/>
          <w:lang w:val="en-GB"/>
        </w:rPr>
        <w:t>58.</w:t>
      </w:r>
      <w:r w:rsidRPr="00E968A4">
        <w:rPr>
          <w:rFonts w:cs="Calibri"/>
          <w:noProof/>
          <w:lang w:val="en-GB"/>
        </w:rPr>
        <w:tab/>
        <w:t>Atun RA, Lebcir RM, McKee M, Habicht J, Coker RJ. Impact of joined-up HIV harm reduction and multidrug resistant tuberculosis control programmes in Estonia: System dynamics simulation model. Health Policy. 2007 May;81(2-3):207-17.</w:t>
      </w:r>
    </w:p>
    <w:p w:rsidR="00E968A4" w:rsidRPr="00E968A4" w:rsidRDefault="00E968A4" w:rsidP="00E968A4">
      <w:pPr>
        <w:pStyle w:val="Lijstalinea"/>
        <w:ind w:left="0"/>
        <w:rPr>
          <w:rFonts w:cs="Calibri"/>
          <w:noProof/>
          <w:lang w:val="en-GB"/>
        </w:rPr>
      </w:pPr>
      <w:r w:rsidRPr="00E968A4">
        <w:rPr>
          <w:rFonts w:cs="Calibri"/>
          <w:noProof/>
          <w:lang w:val="en-GB"/>
        </w:rPr>
        <w:t>59.</w:t>
      </w:r>
      <w:r w:rsidRPr="00E968A4">
        <w:rPr>
          <w:rFonts w:cs="Calibri"/>
          <w:noProof/>
          <w:lang w:val="en-GB"/>
        </w:rPr>
        <w:tab/>
        <w:t>Floyd K, Hutubessy R, Kliiman K, Centis R, Khurieva N, Jakobowiak W, et al. Cost and cost-effectiveness of multidrug-resistant tuberculosis treatment in Estonia and Russia. Eur Respir J. 2012 Jul;40(1):133-42.</w:t>
      </w:r>
    </w:p>
    <w:p w:rsidR="00E968A4" w:rsidRPr="00E968A4" w:rsidRDefault="00E968A4" w:rsidP="00E968A4">
      <w:pPr>
        <w:pStyle w:val="Lijstalinea"/>
        <w:ind w:left="0"/>
        <w:rPr>
          <w:rFonts w:cs="Calibri"/>
          <w:noProof/>
          <w:lang w:val="en-GB"/>
        </w:rPr>
      </w:pPr>
      <w:r w:rsidRPr="00E968A4">
        <w:rPr>
          <w:rFonts w:cs="Calibri"/>
          <w:noProof/>
          <w:lang w:val="en-GB"/>
        </w:rPr>
        <w:t>60.</w:t>
      </w:r>
      <w:r w:rsidRPr="00E968A4">
        <w:rPr>
          <w:rFonts w:cs="Calibri"/>
          <w:noProof/>
          <w:lang w:val="en-GB"/>
        </w:rPr>
        <w:tab/>
        <w:t>McKee M, Zwi A, Koupilova I, Sethi D, Leon D. Health policy-making in central and eastern Europe: lessons from the inaction on injuries? Health policy and planning. 2000 Sep;15(3):263-9.</w:t>
      </w:r>
    </w:p>
    <w:p w:rsidR="00E968A4" w:rsidRPr="00E968A4" w:rsidRDefault="00E968A4" w:rsidP="00E968A4">
      <w:pPr>
        <w:pStyle w:val="Lijstalinea"/>
        <w:ind w:left="0"/>
        <w:rPr>
          <w:rFonts w:cs="Calibri"/>
          <w:noProof/>
          <w:lang w:val="en-GB"/>
        </w:rPr>
      </w:pPr>
      <w:r w:rsidRPr="00E968A4">
        <w:rPr>
          <w:rFonts w:cs="Calibri"/>
          <w:noProof/>
          <w:lang w:val="en-GB"/>
        </w:rPr>
        <w:t>61.</w:t>
      </w:r>
      <w:r w:rsidRPr="00E968A4">
        <w:rPr>
          <w:rFonts w:cs="Calibri"/>
          <w:noProof/>
          <w:lang w:val="en-GB"/>
        </w:rPr>
        <w:tab/>
        <w:t>Armour-Marshall J, Wolfe I, Richardson E, Karanikolos M, McKee M. Childhood deaths from injuries: trends and inequalities in Europe. Eur J Public Health. 2012 Feb;22(1):61-5.</w:t>
      </w:r>
    </w:p>
    <w:p w:rsidR="00E968A4" w:rsidRPr="00E968A4" w:rsidRDefault="00E968A4" w:rsidP="00E968A4">
      <w:pPr>
        <w:pStyle w:val="Lijstalinea"/>
        <w:ind w:left="0"/>
        <w:rPr>
          <w:rFonts w:cs="Calibri"/>
          <w:noProof/>
          <w:lang w:val="en-GB"/>
        </w:rPr>
      </w:pPr>
      <w:r w:rsidRPr="00E968A4">
        <w:rPr>
          <w:rFonts w:cs="Calibri"/>
          <w:noProof/>
          <w:lang w:val="en-GB"/>
        </w:rPr>
        <w:t>62.</w:t>
      </w:r>
      <w:r w:rsidRPr="00E968A4">
        <w:rPr>
          <w:rFonts w:cs="Calibri"/>
          <w:noProof/>
          <w:lang w:val="en-GB"/>
        </w:rPr>
        <w:tab/>
        <w:t>Andreev EM, Nolte E, Shkolnikov VM, Varavikova E, McKee M. The evolving pattern of avoidable mortality in Russia. International journal of epidemiology. 2003 Jun;32(3):437-46.</w:t>
      </w:r>
    </w:p>
    <w:p w:rsidR="00E968A4" w:rsidRPr="00E968A4" w:rsidRDefault="00E968A4" w:rsidP="00E968A4">
      <w:pPr>
        <w:pStyle w:val="Lijstalinea"/>
        <w:ind w:left="0"/>
        <w:rPr>
          <w:rFonts w:cs="Calibri"/>
          <w:noProof/>
          <w:lang w:val="en-GB"/>
        </w:rPr>
      </w:pPr>
      <w:r w:rsidRPr="00E968A4">
        <w:rPr>
          <w:rFonts w:cs="Calibri"/>
          <w:noProof/>
          <w:lang w:val="en-GB"/>
        </w:rPr>
        <w:t>63.</w:t>
      </w:r>
      <w:r w:rsidRPr="00E968A4">
        <w:rPr>
          <w:rFonts w:cs="Calibri"/>
          <w:noProof/>
          <w:lang w:val="en-GB"/>
        </w:rPr>
        <w:tab/>
        <w:t>Velkova A, Wolleswinkel-van den Bosch JH, Mackenbach JP. The East-West life expectancy gap: differences in mortality from conditions amenable to medical intervention. International journal of epidemiology. 1997 Feb;26(1):75-84.</w:t>
      </w:r>
    </w:p>
    <w:p w:rsidR="00E968A4" w:rsidRPr="00E968A4" w:rsidRDefault="00E968A4" w:rsidP="00E968A4">
      <w:pPr>
        <w:pStyle w:val="Lijstalinea"/>
        <w:ind w:left="0"/>
        <w:rPr>
          <w:rFonts w:cs="Calibri"/>
          <w:noProof/>
          <w:lang w:val="en-GB"/>
        </w:rPr>
      </w:pPr>
      <w:r w:rsidRPr="00E968A4">
        <w:rPr>
          <w:rFonts w:cs="Calibri"/>
          <w:noProof/>
          <w:lang w:val="en-GB"/>
        </w:rPr>
        <w:t>64.</w:t>
      </w:r>
      <w:r w:rsidRPr="00E968A4">
        <w:rPr>
          <w:rFonts w:cs="Calibri"/>
          <w:noProof/>
          <w:lang w:val="en-GB"/>
        </w:rPr>
        <w:tab/>
        <w:t>McKee M. Cochrane on Communism: the influence of ideology on the search for evidence. International journal of epidemiology. 2007 Apr;36(2):269-73.</w:t>
      </w:r>
    </w:p>
    <w:p w:rsidR="00E968A4" w:rsidRPr="00E968A4" w:rsidRDefault="00E968A4" w:rsidP="00E968A4">
      <w:pPr>
        <w:pStyle w:val="Lijstalinea"/>
        <w:ind w:left="0"/>
        <w:rPr>
          <w:rFonts w:cs="Calibri"/>
          <w:noProof/>
          <w:lang w:val="en-GB"/>
        </w:rPr>
      </w:pPr>
      <w:r w:rsidRPr="00E968A4">
        <w:rPr>
          <w:rFonts w:cs="Calibri"/>
          <w:noProof/>
          <w:lang w:val="en-GB"/>
        </w:rPr>
        <w:t>65.</w:t>
      </w:r>
      <w:r w:rsidRPr="00E968A4">
        <w:rPr>
          <w:rFonts w:cs="Calibri"/>
          <w:noProof/>
          <w:lang w:val="en-GB"/>
        </w:rPr>
        <w:tab/>
        <w:t>Roberts B, Stickley A, Balabanova D, Haerpfer C, McKee M. The persistence of irregular treatment of hypertension in the former Soviet Union. J Epidemiol Community Health. 2012 Mar 24.</w:t>
      </w:r>
    </w:p>
    <w:p w:rsidR="00E968A4" w:rsidRPr="00E968A4" w:rsidRDefault="00E968A4" w:rsidP="00E968A4">
      <w:pPr>
        <w:pStyle w:val="Lijstalinea"/>
        <w:ind w:left="0"/>
        <w:rPr>
          <w:rFonts w:cs="Calibri"/>
          <w:noProof/>
          <w:lang w:val="en-GB"/>
        </w:rPr>
      </w:pPr>
      <w:r w:rsidRPr="00E968A4">
        <w:rPr>
          <w:rFonts w:cs="Calibri"/>
          <w:noProof/>
          <w:lang w:val="en-GB"/>
        </w:rPr>
        <w:t>66.</w:t>
      </w:r>
      <w:r w:rsidRPr="00E968A4">
        <w:rPr>
          <w:rFonts w:cs="Calibri"/>
          <w:noProof/>
          <w:lang w:val="en-GB"/>
        </w:rPr>
        <w:tab/>
        <w:t>Nolte E, Scholz R, Shkolnikov V, McKee M. The contribution of medical care to changing life expectancy in Germany and Poland. Soc Sci Med. 2002 Dec;55(11):1905-21.</w:t>
      </w:r>
    </w:p>
    <w:p w:rsidR="00E968A4" w:rsidRPr="00E968A4" w:rsidRDefault="00E968A4" w:rsidP="00E968A4">
      <w:pPr>
        <w:pStyle w:val="Lijstalinea"/>
        <w:ind w:left="0"/>
        <w:rPr>
          <w:rFonts w:cs="Calibri"/>
          <w:noProof/>
          <w:lang w:val="en-GB"/>
        </w:rPr>
      </w:pPr>
      <w:r w:rsidRPr="00E968A4">
        <w:rPr>
          <w:rFonts w:cs="Calibri"/>
          <w:noProof/>
          <w:lang w:val="en-GB"/>
        </w:rPr>
        <w:t>67.</w:t>
      </w:r>
      <w:r w:rsidRPr="00E968A4">
        <w:rPr>
          <w:rFonts w:cs="Calibri"/>
          <w:noProof/>
          <w:lang w:val="en-GB"/>
        </w:rPr>
        <w:tab/>
        <w:t>Balabanova D, Roberts B, Richardson E, Haerpfer C, McKee M. Health care reform in the former Soviet Union: beyond the transition. Health Serv Res. 2012 Apr;47(2):840-64.</w:t>
      </w:r>
    </w:p>
    <w:p w:rsidR="00E968A4" w:rsidRPr="00E968A4" w:rsidRDefault="00E968A4" w:rsidP="00E968A4">
      <w:pPr>
        <w:pStyle w:val="Lijstalinea"/>
        <w:ind w:left="0"/>
        <w:rPr>
          <w:rFonts w:cs="Calibri"/>
          <w:noProof/>
          <w:lang w:val="en-GB"/>
        </w:rPr>
      </w:pPr>
      <w:r w:rsidRPr="00E968A4">
        <w:rPr>
          <w:rFonts w:cs="Calibri"/>
          <w:noProof/>
          <w:lang w:val="en-GB"/>
        </w:rPr>
        <w:t>68.</w:t>
      </w:r>
      <w:r w:rsidRPr="00E968A4">
        <w:rPr>
          <w:rFonts w:cs="Calibri"/>
          <w:noProof/>
          <w:lang w:val="en-GB"/>
        </w:rPr>
        <w:tab/>
        <w:t>Eurostat. Health statistics – Atlas on mortality in the European Union. Luxembourg: Eurostat; 2009.</w:t>
      </w:r>
    </w:p>
    <w:p w:rsidR="00E968A4" w:rsidRPr="00E968A4" w:rsidRDefault="00E968A4" w:rsidP="00E968A4">
      <w:pPr>
        <w:pStyle w:val="Lijstalinea"/>
        <w:ind w:left="0"/>
        <w:rPr>
          <w:rFonts w:cs="Calibri"/>
          <w:noProof/>
          <w:lang w:val="en-GB"/>
        </w:rPr>
      </w:pPr>
      <w:r w:rsidRPr="00E968A4">
        <w:rPr>
          <w:rFonts w:cs="Calibri"/>
          <w:noProof/>
          <w:lang w:val="en-GB"/>
        </w:rPr>
        <w:t>69.</w:t>
      </w:r>
      <w:r w:rsidRPr="00E968A4">
        <w:rPr>
          <w:rFonts w:cs="Calibri"/>
          <w:noProof/>
          <w:lang w:val="en-GB"/>
        </w:rPr>
        <w:tab/>
        <w:t>Bevan G. Impact of devolution of health care in the UK: provider challenge in England and provider capture in Wales, Scotland and Northern Ireland? J Health Serv Res Policy. 2010 Apr;15(2):67-8.</w:t>
      </w:r>
    </w:p>
    <w:p w:rsidR="00E968A4" w:rsidRPr="00E968A4" w:rsidRDefault="00E968A4" w:rsidP="00E968A4">
      <w:pPr>
        <w:pStyle w:val="Lijstalinea"/>
        <w:ind w:left="0"/>
        <w:rPr>
          <w:rFonts w:cs="Calibri"/>
          <w:noProof/>
          <w:lang w:val="en-GB"/>
        </w:rPr>
      </w:pPr>
      <w:r w:rsidRPr="00E968A4">
        <w:rPr>
          <w:rFonts w:cs="Calibri"/>
          <w:noProof/>
          <w:lang w:val="en-GB"/>
        </w:rPr>
        <w:t>70.</w:t>
      </w:r>
      <w:r w:rsidRPr="00E968A4">
        <w:rPr>
          <w:rFonts w:cs="Calibri"/>
          <w:noProof/>
          <w:lang w:val="en-GB"/>
        </w:rPr>
        <w:tab/>
        <w:t>Gené-Badiaa J, Gallob P, Hernández-Quevedoc C, García-Armestod S. Spanish health care cuts: Penny wise and pound foolish? Health Policy. 2012;</w:t>
      </w:r>
      <w:hyperlink r:id="rId10" w:history="1">
        <w:r w:rsidRPr="00E968A4">
          <w:rPr>
            <w:rStyle w:val="Hyperlink"/>
            <w:rFonts w:cs="Calibri"/>
            <w:noProof/>
            <w:lang w:val="en-GB"/>
          </w:rPr>
          <w:t>http://dx.doi.org/10.1016/j.healthpol.2012.02.001</w:t>
        </w:r>
      </w:hyperlink>
      <w:r w:rsidRPr="00E968A4">
        <w:rPr>
          <w:rFonts w:cs="Calibri"/>
          <w:noProof/>
          <w:lang w:val="en-GB"/>
        </w:rPr>
        <w:t>.</w:t>
      </w:r>
    </w:p>
    <w:p w:rsidR="00E968A4" w:rsidRPr="00E968A4" w:rsidRDefault="00E968A4" w:rsidP="00E968A4">
      <w:pPr>
        <w:pStyle w:val="Lijstalinea"/>
        <w:ind w:left="0"/>
        <w:rPr>
          <w:rFonts w:cs="Calibri"/>
          <w:noProof/>
          <w:lang w:val="en-GB"/>
        </w:rPr>
      </w:pPr>
      <w:r w:rsidRPr="00E968A4">
        <w:rPr>
          <w:rFonts w:cs="Calibri"/>
          <w:noProof/>
          <w:lang w:val="en-GB"/>
        </w:rPr>
        <w:lastRenderedPageBreak/>
        <w:t>71.</w:t>
      </w:r>
      <w:r w:rsidRPr="00E968A4">
        <w:rPr>
          <w:rFonts w:cs="Calibri"/>
          <w:noProof/>
          <w:lang w:val="en-GB"/>
        </w:rPr>
        <w:tab/>
        <w:t>Marmot M. Fair Society, Healthy Lives (the Marmot review). London: Department of Health; 2010.</w:t>
      </w:r>
    </w:p>
    <w:p w:rsidR="00E968A4" w:rsidRPr="00E968A4" w:rsidRDefault="00E968A4" w:rsidP="00E968A4">
      <w:pPr>
        <w:pStyle w:val="Lijstalinea"/>
        <w:ind w:left="0"/>
        <w:rPr>
          <w:rFonts w:cs="Calibri"/>
          <w:noProof/>
          <w:lang w:val="en-GB"/>
        </w:rPr>
      </w:pPr>
      <w:r w:rsidRPr="00E968A4">
        <w:rPr>
          <w:rFonts w:cs="Calibri"/>
          <w:noProof/>
          <w:lang w:val="en-GB"/>
        </w:rPr>
        <w:t>72.</w:t>
      </w:r>
      <w:r w:rsidRPr="00E968A4">
        <w:rPr>
          <w:rFonts w:cs="Calibri"/>
          <w:noProof/>
          <w:lang w:val="en-GB"/>
        </w:rPr>
        <w:tab/>
        <w:t>Mackenbach JP, Bos V, Andersen O, Cardano M, Costa G, Harding S, et al. Widening socioeconomic inequalities in mortality in six Western European countries. International journal of epidemiology. 2003 Oct;32(5):830-7.</w:t>
      </w:r>
    </w:p>
    <w:p w:rsidR="00E968A4" w:rsidRPr="00E968A4" w:rsidRDefault="00E968A4" w:rsidP="00E968A4">
      <w:pPr>
        <w:pStyle w:val="Lijstalinea"/>
        <w:ind w:left="0"/>
        <w:rPr>
          <w:rFonts w:cs="Calibri"/>
          <w:noProof/>
          <w:lang w:val="en-GB"/>
        </w:rPr>
      </w:pPr>
      <w:r w:rsidRPr="00E968A4">
        <w:rPr>
          <w:rFonts w:cs="Calibri"/>
          <w:noProof/>
          <w:lang w:val="en-GB"/>
        </w:rPr>
        <w:t>73.</w:t>
      </w:r>
      <w:r w:rsidRPr="00E968A4">
        <w:rPr>
          <w:rFonts w:cs="Calibri"/>
          <w:noProof/>
          <w:lang w:val="en-GB"/>
        </w:rPr>
        <w:tab/>
        <w:t>Mackenbach JP, Stirbu I, Roskam AJ, Schaap MM, Menvielle G, Leinsalu M, et al. Socioeconomic inequalities in health in 22 European countries. N Engl J Med. 2008 Jun 5;358(23):2468-81.</w:t>
      </w:r>
    </w:p>
    <w:p w:rsidR="00E968A4" w:rsidRPr="00E968A4" w:rsidRDefault="00E968A4" w:rsidP="00E968A4">
      <w:pPr>
        <w:pStyle w:val="Lijstalinea"/>
        <w:ind w:left="0"/>
        <w:rPr>
          <w:rFonts w:cs="Calibri"/>
          <w:noProof/>
          <w:lang w:val="en-GB"/>
        </w:rPr>
      </w:pPr>
      <w:r w:rsidRPr="00E968A4">
        <w:rPr>
          <w:rFonts w:cs="Calibri"/>
          <w:noProof/>
          <w:lang w:val="en-GB"/>
        </w:rPr>
        <w:t>74.</w:t>
      </w:r>
      <w:r w:rsidRPr="00E968A4">
        <w:rPr>
          <w:rFonts w:cs="Calibri"/>
          <w:noProof/>
          <w:lang w:val="en-GB"/>
        </w:rPr>
        <w:tab/>
        <w:t>Shkolnikov VM, Leon DA, Adamets S, Andreev E, Deev A. Educational level and adult mortality in Russia: an analysis of routine data 1979 to 1994. Soc Sci Med. 1998 Aug;47(3):357-69.</w:t>
      </w:r>
    </w:p>
    <w:p w:rsidR="00E968A4" w:rsidRPr="00E968A4" w:rsidRDefault="00E968A4" w:rsidP="00E968A4">
      <w:pPr>
        <w:pStyle w:val="Lijstalinea"/>
        <w:ind w:left="0"/>
        <w:rPr>
          <w:rFonts w:cs="Calibri"/>
          <w:noProof/>
          <w:lang w:val="en-GB"/>
        </w:rPr>
      </w:pPr>
      <w:r w:rsidRPr="00E968A4">
        <w:rPr>
          <w:rFonts w:cs="Calibri"/>
          <w:noProof/>
          <w:lang w:val="en-GB"/>
        </w:rPr>
        <w:t>75.</w:t>
      </w:r>
      <w:r w:rsidRPr="00E968A4">
        <w:rPr>
          <w:rFonts w:cs="Calibri"/>
          <w:noProof/>
          <w:lang w:val="en-GB"/>
        </w:rPr>
        <w:tab/>
        <w:t>Hajioff S, McKee M. The health of the Roma people: a review of the published literature. J Epidemiol Community Health. 2000 Nov;54(11):864-9.</w:t>
      </w:r>
    </w:p>
    <w:p w:rsidR="00E968A4" w:rsidRPr="00E968A4" w:rsidRDefault="00E968A4" w:rsidP="00E968A4">
      <w:pPr>
        <w:pStyle w:val="Lijstalinea"/>
        <w:ind w:left="0"/>
        <w:rPr>
          <w:rFonts w:cs="Calibri"/>
          <w:noProof/>
          <w:lang w:val="en-GB"/>
        </w:rPr>
      </w:pPr>
      <w:r w:rsidRPr="00E968A4">
        <w:rPr>
          <w:rFonts w:cs="Calibri"/>
          <w:noProof/>
          <w:lang w:val="en-GB"/>
        </w:rPr>
        <w:t>76.</w:t>
      </w:r>
      <w:r w:rsidRPr="00E968A4">
        <w:rPr>
          <w:rFonts w:cs="Calibri"/>
          <w:noProof/>
          <w:lang w:val="en-GB"/>
        </w:rPr>
        <w:tab/>
        <w:t>Marmot M, Allen J, Bell R, Bloomer E, Goldblatt P. WHO European review of social determinants of health and the health divide. Lancet. 2012 Sep 15;380(9846):1011-29.</w:t>
      </w:r>
    </w:p>
    <w:p w:rsidR="00E968A4" w:rsidRPr="00E968A4" w:rsidRDefault="00E968A4" w:rsidP="00E968A4">
      <w:pPr>
        <w:pStyle w:val="Lijstalinea"/>
        <w:ind w:left="0"/>
        <w:rPr>
          <w:rFonts w:cs="Calibri"/>
          <w:noProof/>
          <w:lang w:val="en-GB"/>
        </w:rPr>
      </w:pPr>
      <w:r w:rsidRPr="00E968A4">
        <w:rPr>
          <w:rFonts w:cs="Calibri"/>
          <w:noProof/>
          <w:lang w:val="en-GB"/>
        </w:rPr>
        <w:t>77.</w:t>
      </w:r>
      <w:r w:rsidRPr="00E968A4">
        <w:rPr>
          <w:rFonts w:cs="Calibri"/>
          <w:noProof/>
          <w:lang w:val="en-GB"/>
        </w:rPr>
        <w:tab/>
        <w:t>Delanty G. Inventing Europe : idea, identity, reality. Basingstoke: Macmillan; 1995.</w:t>
      </w:r>
    </w:p>
    <w:p w:rsidR="00E968A4" w:rsidRPr="00E968A4" w:rsidRDefault="00E968A4" w:rsidP="00E968A4">
      <w:pPr>
        <w:pStyle w:val="Lijstalinea"/>
        <w:ind w:left="0"/>
        <w:rPr>
          <w:rFonts w:cs="Calibri"/>
          <w:noProof/>
          <w:lang w:val="en-GB"/>
        </w:rPr>
      </w:pPr>
      <w:r w:rsidRPr="00E968A4">
        <w:rPr>
          <w:rFonts w:cs="Calibri"/>
          <w:noProof/>
          <w:lang w:val="en-GB"/>
        </w:rPr>
        <w:t>78.</w:t>
      </w:r>
      <w:r w:rsidRPr="00E968A4">
        <w:rPr>
          <w:rFonts w:cs="Calibri"/>
          <w:noProof/>
          <w:lang w:val="en-GB"/>
        </w:rPr>
        <w:tab/>
        <w:t>Kösebalaban H. The Permanent “Other”? Turkey and the Question of European Identity. Mediterranean Quarterly. 2007;18(4):87-111.</w:t>
      </w:r>
    </w:p>
    <w:p w:rsidR="00E968A4" w:rsidRPr="00E968A4" w:rsidRDefault="00E968A4" w:rsidP="00E968A4">
      <w:pPr>
        <w:pStyle w:val="Lijstalinea"/>
        <w:ind w:left="0"/>
        <w:rPr>
          <w:rFonts w:cs="Calibri"/>
          <w:noProof/>
          <w:lang w:val="en-GB"/>
        </w:rPr>
      </w:pPr>
      <w:r w:rsidRPr="00E968A4">
        <w:rPr>
          <w:rFonts w:cs="Calibri"/>
          <w:noProof/>
          <w:lang w:val="en-GB"/>
        </w:rPr>
        <w:t>79.</w:t>
      </w:r>
      <w:r w:rsidRPr="00E968A4">
        <w:rPr>
          <w:rFonts w:cs="Calibri"/>
          <w:noProof/>
          <w:lang w:val="en-GB"/>
        </w:rPr>
        <w:tab/>
        <w:t>Figes O. Natasha's dance : a cultural history of Russia. London: Allen Lane; 2002.</w:t>
      </w:r>
    </w:p>
    <w:p w:rsidR="00E968A4" w:rsidRPr="00E968A4" w:rsidRDefault="00E968A4" w:rsidP="00E968A4">
      <w:pPr>
        <w:pStyle w:val="Lijstalinea"/>
        <w:ind w:left="0"/>
        <w:rPr>
          <w:rFonts w:cs="Calibri"/>
          <w:noProof/>
          <w:lang w:val="en-GB"/>
        </w:rPr>
      </w:pPr>
      <w:r w:rsidRPr="00E968A4">
        <w:rPr>
          <w:rFonts w:cs="Calibri"/>
          <w:noProof/>
          <w:lang w:val="en-GB"/>
        </w:rPr>
        <w:t>80.</w:t>
      </w:r>
      <w:r w:rsidRPr="00E968A4">
        <w:rPr>
          <w:rFonts w:cs="Calibri"/>
          <w:noProof/>
          <w:lang w:val="en-GB"/>
        </w:rPr>
        <w:tab/>
        <w:t>McKee M, Atun R. Beyond borders: public-health surveillance. Lancet. 2006 Apr 15;367(9518):1224-6.</w:t>
      </w:r>
    </w:p>
    <w:p w:rsidR="00E968A4" w:rsidRPr="00E968A4" w:rsidRDefault="00E968A4" w:rsidP="00E968A4">
      <w:pPr>
        <w:pStyle w:val="Lijstalinea"/>
        <w:ind w:left="0"/>
        <w:rPr>
          <w:rFonts w:cs="Calibri"/>
          <w:noProof/>
          <w:lang w:val="en-GB"/>
        </w:rPr>
      </w:pPr>
      <w:r w:rsidRPr="00E968A4">
        <w:rPr>
          <w:rFonts w:cs="Calibri"/>
          <w:noProof/>
          <w:lang w:val="en-GB"/>
        </w:rPr>
        <w:t>81.</w:t>
      </w:r>
      <w:r w:rsidRPr="00E968A4">
        <w:rPr>
          <w:rFonts w:cs="Calibri"/>
          <w:noProof/>
          <w:lang w:val="en-GB"/>
        </w:rPr>
        <w:tab/>
        <w:t>Albrecht H-J. Fortress Europe - Controlling Illegal Immigration. European Journal of Crime, Criminal Law, and Criminal Justice. 2002;10 1-22.</w:t>
      </w:r>
    </w:p>
    <w:p w:rsidR="00E968A4" w:rsidRPr="00656253" w:rsidRDefault="00E968A4" w:rsidP="00E968A4">
      <w:pPr>
        <w:pStyle w:val="Lijstalinea"/>
        <w:ind w:left="0"/>
        <w:rPr>
          <w:rFonts w:cs="Calibri"/>
          <w:noProof/>
          <w:lang w:val="nl-NL"/>
        </w:rPr>
      </w:pPr>
      <w:r w:rsidRPr="00E968A4">
        <w:rPr>
          <w:rFonts w:cs="Calibri"/>
          <w:noProof/>
          <w:lang w:val="en-GB"/>
        </w:rPr>
        <w:t>82.</w:t>
      </w:r>
      <w:r w:rsidRPr="00E968A4">
        <w:rPr>
          <w:rFonts w:cs="Calibri"/>
          <w:noProof/>
          <w:lang w:val="en-GB"/>
        </w:rPr>
        <w:tab/>
        <w:t xml:space="preserve">Berrino F, Verdecchia A, Lutz JM, Lombardo C, Micheli A, Capocaccia R. Comparative cancer survival information in Europe. </w:t>
      </w:r>
      <w:r w:rsidRPr="00656253">
        <w:rPr>
          <w:rFonts w:cs="Calibri"/>
          <w:noProof/>
          <w:lang w:val="nl-NL"/>
        </w:rPr>
        <w:t>Eur J Cancer. 2009 Apr;45(6):901-8.</w:t>
      </w:r>
    </w:p>
    <w:p w:rsidR="00E968A4" w:rsidRPr="00E968A4" w:rsidRDefault="00E968A4" w:rsidP="00E968A4">
      <w:pPr>
        <w:pStyle w:val="Lijstalinea"/>
        <w:ind w:left="0"/>
        <w:rPr>
          <w:rFonts w:cs="Calibri"/>
          <w:noProof/>
          <w:lang w:val="en-GB"/>
        </w:rPr>
      </w:pPr>
      <w:r w:rsidRPr="00656253">
        <w:rPr>
          <w:rFonts w:cs="Calibri"/>
          <w:noProof/>
          <w:lang w:val="nl-NL"/>
        </w:rPr>
        <w:t>83.</w:t>
      </w:r>
      <w:r w:rsidRPr="00656253">
        <w:rPr>
          <w:rFonts w:cs="Calibri"/>
          <w:noProof/>
          <w:lang w:val="nl-NL"/>
        </w:rPr>
        <w:tab/>
        <w:t xml:space="preserve">Brenner H, Bouvier AM, Foschi R, Hackl M, Larsen IK, Lemmens V, et al. </w:t>
      </w:r>
      <w:r w:rsidRPr="00E968A4">
        <w:rPr>
          <w:rFonts w:cs="Calibri"/>
          <w:noProof/>
          <w:lang w:val="en-GB"/>
        </w:rPr>
        <w:t>Progress in colorectal cancer survival in Europe from the late 1980s to the early 21st century: the EUROCARE study. Int J Cancer. 2012 Oct 1;131(7):1649-58.</w:t>
      </w:r>
    </w:p>
    <w:p w:rsidR="00E968A4" w:rsidRPr="00E968A4" w:rsidRDefault="00E968A4" w:rsidP="00E968A4">
      <w:pPr>
        <w:pStyle w:val="Lijstalinea"/>
        <w:ind w:left="0"/>
        <w:rPr>
          <w:rFonts w:cs="Calibri"/>
          <w:noProof/>
          <w:lang w:val="en-GB"/>
        </w:rPr>
      </w:pPr>
      <w:r w:rsidRPr="00E968A4">
        <w:rPr>
          <w:rFonts w:cs="Calibri"/>
          <w:noProof/>
          <w:lang w:val="en-GB"/>
        </w:rPr>
        <w:t>84.</w:t>
      </w:r>
      <w:r w:rsidRPr="00E968A4">
        <w:rPr>
          <w:rFonts w:cs="Calibri"/>
          <w:noProof/>
          <w:lang w:val="en-GB"/>
        </w:rPr>
        <w:tab/>
        <w:t>Richards M. Assessment of the NHS cancer plan in England. Lancet Oncol. 2009 Apr;10(4):311.</w:t>
      </w:r>
    </w:p>
    <w:p w:rsidR="00E968A4" w:rsidRPr="00E968A4" w:rsidRDefault="00E968A4" w:rsidP="00E968A4">
      <w:pPr>
        <w:pStyle w:val="Lijstalinea"/>
        <w:ind w:left="0"/>
        <w:rPr>
          <w:rFonts w:cs="Calibri"/>
          <w:noProof/>
          <w:lang w:val="en-GB"/>
        </w:rPr>
      </w:pPr>
      <w:r w:rsidRPr="00E968A4">
        <w:rPr>
          <w:rFonts w:cs="Calibri"/>
          <w:noProof/>
          <w:lang w:val="en-GB"/>
        </w:rPr>
        <w:t>85.</w:t>
      </w:r>
      <w:r w:rsidRPr="00E968A4">
        <w:rPr>
          <w:rFonts w:cs="Calibri"/>
          <w:noProof/>
          <w:lang w:val="en-GB"/>
        </w:rPr>
        <w:tab/>
        <w:t>Börsch-Supan A, Brugiavini A, Jürges H, Mackenbach J, Siegrist J, Weber G. Health, ageing and retirement in Europe – First results from the Survey of Health, Ageing and Retirement in Europe. Mannheim: Mannheim Research Institute for the Economics of Aging (MEA); 2005.</w:t>
      </w:r>
    </w:p>
    <w:p w:rsidR="00E968A4" w:rsidRPr="00E968A4" w:rsidRDefault="00E968A4" w:rsidP="00E968A4">
      <w:pPr>
        <w:pStyle w:val="Lijstalinea"/>
        <w:ind w:left="0"/>
        <w:rPr>
          <w:rFonts w:cs="Calibri"/>
          <w:noProof/>
          <w:lang w:val="en-GB"/>
        </w:rPr>
      </w:pPr>
      <w:r w:rsidRPr="00E968A4">
        <w:rPr>
          <w:rFonts w:cs="Calibri"/>
          <w:noProof/>
          <w:lang w:val="en-GB"/>
        </w:rPr>
        <w:t>86.</w:t>
      </w:r>
      <w:r w:rsidRPr="00E968A4">
        <w:rPr>
          <w:rFonts w:cs="Calibri"/>
          <w:noProof/>
          <w:lang w:val="en-GB"/>
        </w:rPr>
        <w:tab/>
        <w:t>Chiang CL. The Life Table and Its Applications. Malabar, FL: Robert E. Krieger Publishing Company; 1984.</w:t>
      </w:r>
    </w:p>
    <w:p w:rsidR="00E968A4" w:rsidRPr="00E968A4" w:rsidRDefault="00E968A4" w:rsidP="00E968A4">
      <w:pPr>
        <w:pStyle w:val="Lijstalinea"/>
        <w:ind w:left="0"/>
        <w:rPr>
          <w:rFonts w:cs="Calibri"/>
          <w:noProof/>
          <w:lang w:val="en-GB"/>
        </w:rPr>
      </w:pPr>
      <w:r w:rsidRPr="00E968A4">
        <w:rPr>
          <w:rFonts w:cs="Calibri"/>
          <w:noProof/>
          <w:lang w:val="en-GB"/>
        </w:rPr>
        <w:t>87.</w:t>
      </w:r>
      <w:r w:rsidRPr="00E968A4">
        <w:rPr>
          <w:rFonts w:cs="Calibri"/>
          <w:noProof/>
          <w:lang w:val="en-GB"/>
        </w:rPr>
        <w:tab/>
        <w:t>Arriaga EE. Measuring and explaining the change in life expectancies. Demography. 1984;21(1):83-96.</w:t>
      </w:r>
    </w:p>
    <w:p w:rsidR="00E968A4" w:rsidRPr="00E968A4" w:rsidRDefault="00E968A4" w:rsidP="00E968A4">
      <w:pPr>
        <w:pStyle w:val="Lijstalinea"/>
        <w:ind w:left="0"/>
        <w:rPr>
          <w:rFonts w:cs="Calibri"/>
          <w:noProof/>
          <w:lang w:val="en-GB"/>
        </w:rPr>
      </w:pPr>
      <w:r w:rsidRPr="00E968A4">
        <w:rPr>
          <w:rFonts w:cs="Calibri"/>
          <w:noProof/>
          <w:lang w:val="en-GB"/>
        </w:rPr>
        <w:t>88.</w:t>
      </w:r>
      <w:r w:rsidRPr="00E968A4">
        <w:rPr>
          <w:rFonts w:cs="Calibri"/>
          <w:noProof/>
          <w:lang w:val="en-GB"/>
        </w:rPr>
        <w:tab/>
        <w:t>Brand DA, Saisana M, Rynn LA, Pennoni F, Lowenfels AB. Comparative analysis of alcohol control policies in 30 countries. PLoS Med. 2007 Apr;4(4):e151.</w:t>
      </w:r>
    </w:p>
    <w:p w:rsidR="00E968A4" w:rsidRDefault="00E968A4" w:rsidP="00E968A4">
      <w:pPr>
        <w:pStyle w:val="Lijstalinea"/>
        <w:ind w:hanging="720"/>
        <w:rPr>
          <w:rFonts w:cs="Calibri"/>
          <w:noProof/>
          <w:lang w:val="en-GB"/>
        </w:rPr>
      </w:pPr>
    </w:p>
    <w:p w:rsidR="00436563" w:rsidRPr="00493A70" w:rsidRDefault="001D3206" w:rsidP="00AB2E65">
      <w:pPr>
        <w:pStyle w:val="Lijstalinea"/>
        <w:ind w:left="0"/>
        <w:rPr>
          <w:lang w:val="en-GB"/>
        </w:rPr>
      </w:pPr>
      <w:r w:rsidRPr="00493A70">
        <w:rPr>
          <w:lang w:val="en-GB"/>
        </w:rPr>
        <w:fldChar w:fldCharType="end"/>
      </w:r>
    </w:p>
    <w:p w:rsidR="00436563" w:rsidRPr="00493A70" w:rsidRDefault="00436563">
      <w:pPr>
        <w:spacing w:after="200" w:line="276" w:lineRule="auto"/>
        <w:rPr>
          <w:lang w:val="en-GB"/>
        </w:rPr>
      </w:pPr>
      <w:r w:rsidRPr="00493A70">
        <w:rPr>
          <w:lang w:val="en-GB"/>
        </w:rPr>
        <w:br w:type="page"/>
      </w:r>
    </w:p>
    <w:p w:rsidR="00436563" w:rsidRPr="00401111" w:rsidRDefault="00436563" w:rsidP="0085142B">
      <w:pPr>
        <w:pStyle w:val="Kop2"/>
        <w:rPr>
          <w:rFonts w:ascii="Calibri" w:hAnsi="Calibri"/>
          <w:i w:val="0"/>
          <w:lang w:val="en-GB"/>
        </w:rPr>
      </w:pPr>
      <w:r w:rsidRPr="00401111">
        <w:rPr>
          <w:rFonts w:ascii="Calibri" w:hAnsi="Calibri"/>
          <w:i w:val="0"/>
          <w:lang w:val="en-GB"/>
        </w:rPr>
        <w:lastRenderedPageBreak/>
        <w:t>Illustrations</w:t>
      </w:r>
    </w:p>
    <w:p w:rsidR="00436563" w:rsidRPr="00493A70" w:rsidRDefault="00436563" w:rsidP="0030517A">
      <w:pPr>
        <w:rPr>
          <w:lang w:val="en-GB"/>
        </w:rPr>
      </w:pPr>
    </w:p>
    <w:p w:rsidR="00436563" w:rsidRPr="00493A70" w:rsidRDefault="00436563" w:rsidP="00BA71A1">
      <w:pPr>
        <w:pStyle w:val="Bijschrift"/>
        <w:rPr>
          <w:szCs w:val="24"/>
          <w:lang w:val="en-GB"/>
        </w:rPr>
      </w:pPr>
      <w:r w:rsidRPr="00493A70">
        <w:t xml:space="preserve">Figure </w:t>
      </w:r>
      <w:r w:rsidR="001D3206">
        <w:fldChar w:fldCharType="begin"/>
      </w:r>
      <w:r>
        <w:instrText xml:space="preserve"> SEQ Figure \* ARABIC </w:instrText>
      </w:r>
      <w:r w:rsidR="001D3206">
        <w:fldChar w:fldCharType="separate"/>
      </w:r>
      <w:r>
        <w:rPr>
          <w:noProof/>
        </w:rPr>
        <w:t>1</w:t>
      </w:r>
      <w:r w:rsidR="001D3206">
        <w:fldChar w:fldCharType="end"/>
      </w:r>
      <w:r w:rsidRPr="00493A70">
        <w:tab/>
      </w:r>
      <w:r w:rsidRPr="00493A70">
        <w:rPr>
          <w:szCs w:val="24"/>
          <w:lang w:val="en-GB"/>
        </w:rPr>
        <w:t>Trends in life expectancy at birth in Europe, men, 1960-2010</w:t>
      </w:r>
    </w:p>
    <w:p w:rsidR="00436563" w:rsidRPr="00493A70" w:rsidRDefault="00436563" w:rsidP="0030517A">
      <w:pPr>
        <w:rPr>
          <w:lang w:val="en-GB"/>
        </w:rPr>
      </w:pPr>
    </w:p>
    <w:p w:rsidR="00436563" w:rsidRPr="00493A70" w:rsidRDefault="00436563" w:rsidP="0030517A">
      <w:pPr>
        <w:rPr>
          <w:lang w:val="en-GB"/>
        </w:rPr>
      </w:pPr>
      <w:r w:rsidRPr="00493A70">
        <w:rPr>
          <w:lang w:val="en-GB"/>
        </w:rPr>
        <w:t>a. Selected countries in Western Europe</w:t>
      </w:r>
    </w:p>
    <w:p w:rsidR="00436563" w:rsidRPr="00493A70" w:rsidRDefault="00436563" w:rsidP="0030517A">
      <w:pPr>
        <w:rPr>
          <w:lang w:val="en-GB"/>
        </w:rPr>
      </w:pPr>
    </w:p>
    <w:p w:rsidR="00436563" w:rsidRPr="00493A70" w:rsidRDefault="00953CB2" w:rsidP="0030517A">
      <w:pPr>
        <w:rPr>
          <w:lang w:val="en-GB"/>
        </w:rPr>
      </w:pPr>
      <w:r>
        <w:rPr>
          <w:noProof/>
          <w:lang w:val="nl-NL" w:eastAsia="nl-NL"/>
        </w:rPr>
        <w:drawing>
          <wp:inline distT="0" distB="0" distL="0" distR="0">
            <wp:extent cx="5159129" cy="2995401"/>
            <wp:effectExtent l="6092" t="6105" r="6854" b="8394"/>
            <wp:docPr id="1" name="Grafi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6563" w:rsidRPr="00493A70" w:rsidRDefault="00436563" w:rsidP="0030517A">
      <w:pPr>
        <w:rPr>
          <w:lang w:val="en-GB"/>
        </w:rPr>
      </w:pPr>
    </w:p>
    <w:p w:rsidR="00436563" w:rsidRPr="00493A70" w:rsidRDefault="00436563" w:rsidP="0030517A">
      <w:pPr>
        <w:rPr>
          <w:lang w:val="en-GB"/>
        </w:rPr>
      </w:pPr>
      <w:r w:rsidRPr="00493A70">
        <w:rPr>
          <w:lang w:val="en-GB"/>
        </w:rPr>
        <w:t xml:space="preserve">b. Selected countries in </w:t>
      </w:r>
      <w:r>
        <w:rPr>
          <w:lang w:val="en-GB"/>
        </w:rPr>
        <w:t>C</w:t>
      </w:r>
      <w:r w:rsidRPr="00493A70">
        <w:rPr>
          <w:lang w:val="en-GB"/>
        </w:rPr>
        <w:t>entral and Eastern Europe</w:t>
      </w:r>
    </w:p>
    <w:p w:rsidR="00436563" w:rsidRPr="00493A70" w:rsidRDefault="00436563" w:rsidP="0030517A">
      <w:pPr>
        <w:rPr>
          <w:lang w:val="en-GB"/>
        </w:rPr>
      </w:pPr>
    </w:p>
    <w:p w:rsidR="00436563" w:rsidRPr="00493A70" w:rsidRDefault="00953CB2" w:rsidP="0030517A">
      <w:pPr>
        <w:rPr>
          <w:lang w:val="en-GB"/>
        </w:rPr>
      </w:pPr>
      <w:r>
        <w:rPr>
          <w:noProof/>
          <w:lang w:val="nl-NL" w:eastAsia="nl-NL"/>
        </w:rPr>
        <w:drawing>
          <wp:inline distT="0" distB="0" distL="0" distR="0">
            <wp:extent cx="5238370" cy="3283848"/>
            <wp:effectExtent l="6095" t="6091" r="3810" b="5711"/>
            <wp:docPr id="2" name="Grafie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6563" w:rsidRPr="00493A70" w:rsidRDefault="00436563" w:rsidP="0030517A">
      <w:pPr>
        <w:rPr>
          <w:lang w:val="en-GB"/>
        </w:rPr>
      </w:pPr>
    </w:p>
    <w:p w:rsidR="00436563" w:rsidRPr="00493A70" w:rsidRDefault="00436563" w:rsidP="0030517A">
      <w:pPr>
        <w:rPr>
          <w:lang w:val="en-GB"/>
        </w:rPr>
      </w:pPr>
    </w:p>
    <w:p w:rsidR="00436563" w:rsidRDefault="00436563" w:rsidP="00BE295D">
      <w:pPr>
        <w:rPr>
          <w:lang w:val="en-GB"/>
        </w:rPr>
        <w:sectPr w:rsidR="00436563" w:rsidSect="00061784">
          <w:footerReference w:type="default" r:id="rId13"/>
          <w:pgSz w:w="11906" w:h="16838"/>
          <w:pgMar w:top="1417" w:right="1417" w:bottom="1417" w:left="1417" w:header="708" w:footer="708" w:gutter="0"/>
          <w:cols w:space="708"/>
          <w:docGrid w:linePitch="360"/>
        </w:sectPr>
      </w:pPr>
      <w:r w:rsidRPr="00493A70">
        <w:rPr>
          <w:lang w:val="en-GB"/>
        </w:rPr>
        <w:t xml:space="preserve">Source: Human Lifetable Database </w:t>
      </w:r>
    </w:p>
    <w:p w:rsidR="00436563" w:rsidRPr="00493A70" w:rsidRDefault="00436563" w:rsidP="005E3FDC">
      <w:pPr>
        <w:pStyle w:val="Bijschrift"/>
        <w:rPr>
          <w:b w:val="0"/>
          <w:lang w:val="en-GB"/>
        </w:rPr>
      </w:pPr>
      <w:r w:rsidRPr="00493A70">
        <w:lastRenderedPageBreak/>
        <w:t xml:space="preserve">Figure </w:t>
      </w:r>
      <w:r w:rsidR="001D3206">
        <w:fldChar w:fldCharType="begin"/>
      </w:r>
      <w:r>
        <w:instrText xml:space="preserve"> SEQ Figure \* ARABIC </w:instrText>
      </w:r>
      <w:r w:rsidR="001D3206">
        <w:fldChar w:fldCharType="separate"/>
      </w:r>
      <w:r>
        <w:rPr>
          <w:noProof/>
        </w:rPr>
        <w:t>2</w:t>
      </w:r>
      <w:r w:rsidR="001D3206">
        <w:fldChar w:fldCharType="end"/>
      </w:r>
      <w:r>
        <w:t xml:space="preserve"> </w:t>
      </w:r>
      <w:r w:rsidRPr="00493A70">
        <w:rPr>
          <w:b w:val="0"/>
          <w:lang w:val="en-GB"/>
        </w:rPr>
        <w:t>Age- and cause-specific contributions to life expectancy change</w:t>
      </w:r>
      <w:r>
        <w:rPr>
          <w:b w:val="0"/>
          <w:lang w:val="en-GB"/>
        </w:rPr>
        <w:t>s by region</w:t>
      </w:r>
      <w:r w:rsidRPr="00493A70">
        <w:rPr>
          <w:b w:val="0"/>
          <w:lang w:val="en-GB"/>
        </w:rPr>
        <w:t>, 1980-20</w:t>
      </w:r>
      <w:r>
        <w:rPr>
          <w:b w:val="0"/>
          <w:lang w:val="en-GB"/>
        </w:rPr>
        <w:t>10</w:t>
      </w:r>
    </w:p>
    <w:p w:rsidR="00436563" w:rsidRDefault="00953CB2" w:rsidP="007817CA">
      <w:pPr>
        <w:rPr>
          <w:lang w:val="en-GB"/>
        </w:rPr>
      </w:pPr>
      <w:r>
        <w:rPr>
          <w:noProof/>
          <w:lang w:val="nl-NL" w:eastAsia="nl-NL"/>
        </w:rPr>
        <w:drawing>
          <wp:inline distT="0" distB="0" distL="0" distR="0">
            <wp:extent cx="3882769" cy="2255397"/>
            <wp:effectExtent l="6097" t="6094" r="6859" b="5459"/>
            <wp:docPr id="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36563" w:rsidRPr="005E3FDC">
        <w:rPr>
          <w:noProof/>
          <w:lang w:val="en-GB" w:eastAsia="en-GB"/>
        </w:rPr>
        <w:t xml:space="preserve"> </w:t>
      </w:r>
      <w:r>
        <w:rPr>
          <w:noProof/>
          <w:lang w:val="nl-NL" w:eastAsia="nl-NL"/>
        </w:rPr>
        <w:drawing>
          <wp:inline distT="0" distB="0" distL="0" distR="0">
            <wp:extent cx="4350013" cy="2246905"/>
            <wp:effectExtent l="6092" t="6084" r="6345" b="4436"/>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6563" w:rsidRDefault="00436563" w:rsidP="007817CA">
      <w:pPr>
        <w:rPr>
          <w:lang w:val="en-GB"/>
        </w:rPr>
      </w:pPr>
    </w:p>
    <w:p w:rsidR="00436563" w:rsidRDefault="00953CB2" w:rsidP="007817CA">
      <w:pPr>
        <w:rPr>
          <w:lang w:val="en-GB"/>
        </w:rPr>
      </w:pPr>
      <w:r>
        <w:rPr>
          <w:noProof/>
          <w:lang w:val="nl-NL" w:eastAsia="nl-NL"/>
        </w:rPr>
        <w:drawing>
          <wp:inline distT="0" distB="0" distL="0" distR="0">
            <wp:extent cx="3891269" cy="2505216"/>
            <wp:effectExtent l="6101" t="6087" r="7880" b="3297"/>
            <wp:docPr id="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36563" w:rsidRPr="005E3FDC">
        <w:rPr>
          <w:noProof/>
          <w:lang w:val="en-GB" w:eastAsia="en-GB"/>
        </w:rPr>
        <w:t xml:space="preserve"> </w:t>
      </w:r>
      <w:r>
        <w:rPr>
          <w:noProof/>
          <w:lang w:val="nl-NL" w:eastAsia="nl-NL"/>
        </w:rPr>
        <w:drawing>
          <wp:inline distT="0" distB="0" distL="0" distR="0">
            <wp:extent cx="4350013" cy="2504938"/>
            <wp:effectExtent l="6092" t="6102" r="6345" b="356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36563" w:rsidRPr="007817CA" w:rsidRDefault="00436563" w:rsidP="007817CA">
      <w:pPr>
        <w:rPr>
          <w:lang w:val="en-GB"/>
        </w:rPr>
      </w:pPr>
      <w:r w:rsidRPr="007817CA">
        <w:rPr>
          <w:lang w:val="en-GB"/>
        </w:rPr>
        <w:t xml:space="preserve">Source: WHO mortality database (updated </w:t>
      </w:r>
      <w:r>
        <w:rPr>
          <w:lang w:val="en-GB"/>
        </w:rPr>
        <w:t>October</w:t>
      </w:r>
      <w:r w:rsidRPr="007817CA">
        <w:rPr>
          <w:lang w:val="en-GB"/>
        </w:rPr>
        <w:t xml:space="preserve">2012) </w:t>
      </w:r>
      <w:r w:rsidRPr="007817CA">
        <w:rPr>
          <w:lang w:val="en-GB"/>
        </w:rPr>
        <w:tab/>
        <w:t xml:space="preserve"> </w:t>
      </w:r>
      <w:r w:rsidRPr="007817CA">
        <w:rPr>
          <w:lang w:val="en-GB"/>
        </w:rPr>
        <w:tab/>
        <w:t xml:space="preserve"> </w:t>
      </w:r>
      <w:r w:rsidRPr="007817CA">
        <w:rPr>
          <w:lang w:val="en-GB"/>
        </w:rPr>
        <w:tab/>
        <w:t xml:space="preserve"> </w:t>
      </w:r>
      <w:r w:rsidRPr="007817CA">
        <w:rPr>
          <w:lang w:val="en-GB"/>
        </w:rPr>
        <w:tab/>
        <w:t xml:space="preserve"> </w:t>
      </w:r>
      <w:r w:rsidRPr="007817CA">
        <w:rPr>
          <w:lang w:val="en-GB"/>
        </w:rPr>
        <w:tab/>
        <w:t xml:space="preserve"> </w:t>
      </w:r>
    </w:p>
    <w:p w:rsidR="00436563" w:rsidRDefault="00436563" w:rsidP="007817CA">
      <w:pPr>
        <w:rPr>
          <w:lang w:val="en-GB"/>
        </w:rPr>
      </w:pPr>
      <w:r w:rsidRPr="007817CA">
        <w:rPr>
          <w:lang w:val="en-GB"/>
        </w:rPr>
        <w:t xml:space="preserve">Notes: </w:t>
      </w:r>
      <w:r w:rsidRPr="007817CA">
        <w:rPr>
          <w:lang w:val="en-GB"/>
        </w:rPr>
        <w:tab/>
        <w:t xml:space="preserve"> </w:t>
      </w:r>
    </w:p>
    <w:p w:rsidR="00436563" w:rsidRDefault="00436563" w:rsidP="007817CA">
      <w:pPr>
        <w:rPr>
          <w:lang w:val="en-GB"/>
        </w:rPr>
      </w:pPr>
      <w:r w:rsidRPr="007817CA">
        <w:rPr>
          <w:lang w:val="en-GB"/>
        </w:rPr>
        <w:lastRenderedPageBreak/>
        <w:t>Life exp</w:t>
      </w:r>
      <w:r>
        <w:rPr>
          <w:lang w:val="en-GB"/>
        </w:rPr>
        <w:t>e</w:t>
      </w:r>
      <w:r w:rsidRPr="007817CA">
        <w:rPr>
          <w:lang w:val="en-GB"/>
        </w:rPr>
        <w:t xml:space="preserve">ctancy </w:t>
      </w:r>
      <w:r>
        <w:rPr>
          <w:lang w:val="en-GB"/>
        </w:rPr>
        <w:t xml:space="preserve">was calculated using </w:t>
      </w:r>
      <w:r w:rsidRPr="007817CA">
        <w:rPr>
          <w:lang w:val="en-GB"/>
        </w:rPr>
        <w:t>Chiang</w:t>
      </w:r>
      <w:r>
        <w:rPr>
          <w:lang w:val="en-GB"/>
        </w:rPr>
        <w:t xml:space="preserve">’s method </w:t>
      </w:r>
      <w:r w:rsidR="001D3206">
        <w:rPr>
          <w:lang w:val="en-GB"/>
        </w:rPr>
        <w:fldChar w:fldCharType="begin"/>
      </w:r>
      <w:r w:rsidR="009679B5">
        <w:rPr>
          <w:lang w:val="en-GB"/>
        </w:rPr>
        <w:instrText xml:space="preserve"> ADDIN EN.CITE &lt;EndNote&gt;&lt;Cite&gt;&lt;Author&gt;Chiang&lt;/Author&gt;&lt;Year&gt;1984&lt;/Year&gt;&lt;RecNum&gt;130&lt;/RecNum&gt;&lt;DisplayText&gt;[79]&lt;/DisplayText&gt;&lt;record&gt;&lt;rec-number&gt;130&lt;/rec-number&gt;&lt;foreign-keys&gt;&lt;key app="EN" db-id="x0x5v9tejav5faewxt4xwrd5aav2xredt5zf"&gt;130&lt;/key&gt;&lt;/foreign-keys&gt;&lt;ref-type name="Book"&gt;6&lt;/ref-type&gt;&lt;contributors&gt;&lt;authors&gt;&lt;author&gt;Chiang, C.L.&lt;/author&gt;&lt;/authors&gt;&lt;/contributors&gt;&lt;titles&gt;&lt;title&gt;The Life Table and Its Applications&lt;/title&gt;&lt;/titles&gt;&lt;dates&gt;&lt;year&gt;1984&lt;/year&gt;&lt;/dates&gt;&lt;pub-location&gt;Malabar, FL&lt;/pub-location&gt;&lt;publisher&gt;Robert E. Krieger Publishing Company&lt;/publisher&gt;&lt;urls&gt;&lt;/urls&gt;&lt;/record&gt;&lt;/Cite&gt;&lt;/EndNote&gt;</w:instrText>
      </w:r>
      <w:r w:rsidR="001D3206">
        <w:rPr>
          <w:lang w:val="en-GB"/>
        </w:rPr>
        <w:fldChar w:fldCharType="separate"/>
      </w:r>
      <w:r w:rsidR="00E968A4" w:rsidRPr="00E968A4">
        <w:rPr>
          <w:noProof/>
          <w:vertAlign w:val="superscript"/>
          <w:lang w:val="en-GB"/>
        </w:rPr>
        <w:t>86</w:t>
      </w:r>
      <w:r w:rsidR="001D3206">
        <w:rPr>
          <w:lang w:val="en-GB"/>
        </w:rPr>
        <w:fldChar w:fldCharType="end"/>
      </w:r>
      <w:r>
        <w:rPr>
          <w:lang w:val="en-GB"/>
        </w:rPr>
        <w:t xml:space="preserve"> and </w:t>
      </w:r>
      <w:r w:rsidRPr="007817CA">
        <w:rPr>
          <w:lang w:val="en-GB"/>
        </w:rPr>
        <w:t xml:space="preserve">decomposition by cause </w:t>
      </w:r>
      <w:r>
        <w:rPr>
          <w:lang w:val="en-GB"/>
        </w:rPr>
        <w:t xml:space="preserve">used </w:t>
      </w:r>
      <w:r w:rsidRPr="007817CA">
        <w:rPr>
          <w:lang w:val="en-GB"/>
        </w:rPr>
        <w:t>Arriaga</w:t>
      </w:r>
      <w:r>
        <w:rPr>
          <w:lang w:val="en-GB"/>
        </w:rPr>
        <w:t>’s method.</w:t>
      </w:r>
      <w:r w:rsidR="001D3206">
        <w:rPr>
          <w:lang w:val="en-GB"/>
        </w:rPr>
        <w:fldChar w:fldCharType="begin"/>
      </w:r>
      <w:r w:rsidR="009679B5">
        <w:rPr>
          <w:lang w:val="en-GB"/>
        </w:rPr>
        <w:instrText xml:space="preserve"> ADDIN EN.CITE &lt;EndNote&gt;&lt;Cite&gt;&lt;Author&gt;Arriaga&lt;/Author&gt;&lt;Year&gt;1984&lt;/Year&gt;&lt;RecNum&gt;131&lt;/RecNum&gt;&lt;DisplayText&gt;[80]&lt;/DisplayText&gt;&lt;record&gt;&lt;rec-number&gt;131&lt;/rec-number&gt;&lt;foreign-keys&gt;&lt;key app="EN" db-id="x0x5v9tejav5faewxt4xwrd5aav2xredt5zf"&gt;131&lt;/key&gt;&lt;/foreign-keys&gt;&lt;ref-type name="Journal Article"&gt;17&lt;/ref-type&gt;&lt;contributors&gt;&lt;authors&gt;&lt;author&gt;Arriaga, E.E.&lt;/author&gt;&lt;/authors&gt;&lt;/contributors&gt;&lt;titles&gt;&lt;title&gt;Measuring and explaining the change in life expectancies&lt;/title&gt;&lt;secondary-title&gt;Demography&lt;/secondary-title&gt;&lt;/titles&gt;&lt;periodical&gt;&lt;full-title&gt;Demography&lt;/full-title&gt;&lt;/periodical&gt;&lt;pages&gt;83-96&lt;/pages&gt;&lt;volume&gt;21&lt;/volume&gt;&lt;number&gt;1&lt;/number&gt;&lt;dates&gt;&lt;year&gt;1984&lt;/year&gt;&lt;/dates&gt;&lt;urls&gt;&lt;/urls&gt;&lt;/record&gt;&lt;/Cite&gt;&lt;/EndNote&gt;</w:instrText>
      </w:r>
      <w:r w:rsidR="001D3206">
        <w:rPr>
          <w:lang w:val="en-GB"/>
        </w:rPr>
        <w:fldChar w:fldCharType="separate"/>
      </w:r>
      <w:r w:rsidR="00E968A4" w:rsidRPr="00E968A4">
        <w:rPr>
          <w:noProof/>
          <w:vertAlign w:val="superscript"/>
          <w:lang w:val="en-GB"/>
        </w:rPr>
        <w:t>87</w:t>
      </w:r>
      <w:r w:rsidR="001D3206">
        <w:rPr>
          <w:lang w:val="en-GB"/>
        </w:rPr>
        <w:fldChar w:fldCharType="end"/>
      </w:r>
      <w:r w:rsidRPr="007817CA">
        <w:rPr>
          <w:lang w:val="en-GB"/>
        </w:rPr>
        <w:tab/>
      </w:r>
      <w:r w:rsidRPr="005E3FDC">
        <w:rPr>
          <w:lang w:val="en-GB"/>
        </w:rPr>
        <w:t>Data for France, Greece, Hungary, Italy, Luxembourg, Armenia, Belarus, Georgia, Kazakhstan and Kyrgyzstan for 2009, Azerbaijan for 2007, Belgium and Denmark for 2006, Uzbekistan and Tajikistan 2005, Turmkenistan 1998</w:t>
      </w:r>
    </w:p>
    <w:p w:rsidR="00A0426A" w:rsidRDefault="00A0426A" w:rsidP="007817CA">
      <w:pPr>
        <w:rPr>
          <w:lang w:val="en-GB"/>
        </w:rPr>
        <w:sectPr w:rsidR="00A0426A" w:rsidSect="007817CA">
          <w:pgSz w:w="16838" w:h="11906" w:orient="landscape"/>
          <w:pgMar w:top="1417" w:right="1417" w:bottom="1417" w:left="1417" w:header="708" w:footer="708" w:gutter="0"/>
          <w:cols w:space="708"/>
          <w:docGrid w:linePitch="360"/>
        </w:sectPr>
      </w:pPr>
      <w:r>
        <w:rPr>
          <w:lang w:val="en-GB"/>
        </w:rPr>
        <w:t xml:space="preserve">In these graphs, the y-axes represent the </w:t>
      </w:r>
      <w:r w:rsidR="009C4057">
        <w:rPr>
          <w:lang w:val="en-GB"/>
        </w:rPr>
        <w:t xml:space="preserve">number of </w:t>
      </w:r>
      <w:r>
        <w:rPr>
          <w:lang w:val="en-GB"/>
        </w:rPr>
        <w:t>years that changing death rates in each age band contribute to the overall change in life expectancy while the x-axes represent the different age bands. Bars above the x-axis represent causes from which deaths have declined, thus contributing to gains in life expectancy, while those below the axis have increased, contributing negatively to life expectancy.</w:t>
      </w:r>
    </w:p>
    <w:p w:rsidR="00436563" w:rsidRPr="00493A70" w:rsidRDefault="00436563" w:rsidP="00BA71A1">
      <w:pPr>
        <w:pStyle w:val="Bijschrift"/>
        <w:rPr>
          <w:b w:val="0"/>
          <w:lang w:val="en-GB"/>
        </w:rPr>
      </w:pPr>
      <w:r w:rsidRPr="00493A70">
        <w:lastRenderedPageBreak/>
        <w:t xml:space="preserve">Figure </w:t>
      </w:r>
      <w:r w:rsidR="001D3206">
        <w:fldChar w:fldCharType="begin"/>
      </w:r>
      <w:r>
        <w:instrText xml:space="preserve"> SEQ Figure \* ARABIC </w:instrText>
      </w:r>
      <w:r w:rsidR="001D3206">
        <w:fldChar w:fldCharType="separate"/>
      </w:r>
      <w:r>
        <w:rPr>
          <w:noProof/>
        </w:rPr>
        <w:t>3</w:t>
      </w:r>
      <w:r w:rsidR="001D3206">
        <w:fldChar w:fldCharType="end"/>
      </w:r>
      <w:r w:rsidRPr="00493A70">
        <w:tab/>
      </w:r>
      <w:r w:rsidRPr="00493A70">
        <w:rPr>
          <w:b w:val="0"/>
          <w:lang w:val="en-GB"/>
        </w:rPr>
        <w:t>Between-country comparisons of indicators of tobacco control, alcohol control, and road traffic safety</w:t>
      </w:r>
    </w:p>
    <w:p w:rsidR="00436563" w:rsidRPr="00493A70" w:rsidRDefault="00436563" w:rsidP="001C426A">
      <w:pPr>
        <w:pStyle w:val="Plattetekst"/>
        <w:rPr>
          <w:lang w:val="en-GB"/>
        </w:rPr>
      </w:pPr>
      <w:r w:rsidRPr="00493A70">
        <w:rPr>
          <w:lang w:val="en-GB"/>
        </w:rPr>
        <w:t xml:space="preserve">a. </w:t>
      </w:r>
      <w:r w:rsidRPr="00493A70">
        <w:t>Association between a country’s score on the Tobacco Control Scale and male smoking prevalence, circa. 2009.</w:t>
      </w:r>
    </w:p>
    <w:p w:rsidR="00436563" w:rsidRPr="00493A70" w:rsidRDefault="00436563" w:rsidP="001C426A">
      <w:pPr>
        <w:pStyle w:val="Plattetekst"/>
        <w:rPr>
          <w:lang w:val="en-GB"/>
        </w:rPr>
      </w:pPr>
    </w:p>
    <w:p w:rsidR="00436563" w:rsidRPr="00493A70" w:rsidRDefault="00953CB2" w:rsidP="00E93524">
      <w:pPr>
        <w:rPr>
          <w:lang w:val="en-GB"/>
        </w:rPr>
      </w:pPr>
      <w:r>
        <w:rPr>
          <w:noProof/>
          <w:lang w:val="nl-NL" w:eastAsia="nl-NL"/>
        </w:rPr>
        <w:drawing>
          <wp:inline distT="0" distB="0" distL="0" distR="0">
            <wp:extent cx="5114925" cy="3743325"/>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36563" w:rsidRPr="00493A70" w:rsidRDefault="00436563" w:rsidP="00E93524">
      <w:pPr>
        <w:rPr>
          <w:lang w:val="en-GB"/>
        </w:rPr>
      </w:pPr>
    </w:p>
    <w:p w:rsidR="00436563" w:rsidRPr="00493A70" w:rsidRDefault="00436563" w:rsidP="00E93524">
      <w:pPr>
        <w:rPr>
          <w:lang w:val="en-GB"/>
        </w:rPr>
      </w:pPr>
      <w:r w:rsidRPr="00493A70">
        <w:rPr>
          <w:lang w:val="en-GB"/>
        </w:rPr>
        <w:t xml:space="preserve">Tobacco Control Scale score: country score (on a scale of 0-100) indicating completeness of implementation of a range of tobacco control policies, ca. 2010 </w:t>
      </w:r>
      <w:r w:rsidR="001D3206">
        <w:rPr>
          <w:lang w:val="en-GB"/>
        </w:rPr>
        <w:fldChar w:fldCharType="begin"/>
      </w:r>
      <w:r w:rsidR="009679B5">
        <w:rPr>
          <w:lang w:val="en-GB"/>
        </w:rPr>
        <w:instrText xml:space="preserve"> ADDIN EN.CITE &lt;EndNote&gt;&lt;Cite&gt;&lt;Author&gt;Joossens&lt;/Author&gt;&lt;Year&gt;2011&lt;/Year&gt;&lt;RecNum&gt;101&lt;/RecNum&gt;&lt;DisplayText&gt;[25]&lt;/DisplayText&gt;&lt;record&gt;&lt;rec-number&gt;101&lt;/rec-number&gt;&lt;foreign-keys&gt;&lt;key app="EN" db-id="x0x5v9tejav5faewxt4xwrd5aav2xredt5zf"&gt;101&lt;/key&gt;&lt;/foreign-keys&gt;&lt;ref-type name="Report"&gt;27&lt;/ref-type&gt;&lt;contributors&gt;&lt;authors&gt;&lt;author&gt;Joossens, L.&lt;/author&gt;&lt;author&gt;Raw, M.&lt;/author&gt;&lt;/authors&gt;&lt;/contributors&gt;&lt;titles&gt;&lt;title&gt;The Tobacco Control Scale 2010 in Europe&lt;/title&gt;&lt;/titles&gt;&lt;dates&gt;&lt;year&gt;2011&lt;/year&gt;&lt;/dates&gt;&lt;pub-location&gt;Brussels&lt;/pub-location&gt;&lt;publisher&gt;Association of European Cancer Leagues&lt;/publisher&gt;&lt;urls&gt;&lt;/urls&gt;&lt;/record&gt;&lt;/Cite&gt;&lt;/EndNote&gt;</w:instrText>
      </w:r>
      <w:r w:rsidR="001D3206">
        <w:rPr>
          <w:lang w:val="en-GB"/>
        </w:rPr>
        <w:fldChar w:fldCharType="separate"/>
      </w:r>
      <w:r w:rsidR="00E968A4" w:rsidRPr="00E968A4">
        <w:rPr>
          <w:noProof/>
          <w:vertAlign w:val="superscript"/>
          <w:lang w:val="en-GB"/>
        </w:rPr>
        <w:t>31</w:t>
      </w:r>
      <w:r w:rsidR="001D3206">
        <w:rPr>
          <w:lang w:val="en-GB"/>
        </w:rPr>
        <w:fldChar w:fldCharType="end"/>
      </w:r>
      <w:r w:rsidRPr="00493A70">
        <w:rPr>
          <w:lang w:val="en-GB"/>
        </w:rPr>
        <w:t xml:space="preserve">. Smoking prevalence: percentage of population aged 15 and over who is a current daily smoker, ca. 2008 (source: WHO Health for All Database). </w:t>
      </w:r>
    </w:p>
    <w:p w:rsidR="00436563" w:rsidRPr="00493A70" w:rsidRDefault="00436563" w:rsidP="00E93524">
      <w:pPr>
        <w:rPr>
          <w:lang w:val="en-GB"/>
        </w:rPr>
      </w:pPr>
    </w:p>
    <w:p w:rsidR="00436563" w:rsidRPr="00493A70" w:rsidRDefault="00436563" w:rsidP="00E93524">
      <w:pPr>
        <w:rPr>
          <w:lang w:val="en-GB"/>
        </w:rPr>
      </w:pPr>
    </w:p>
    <w:p w:rsidR="00436563" w:rsidRPr="00493A70" w:rsidRDefault="00436563">
      <w:pPr>
        <w:spacing w:after="200" w:line="276" w:lineRule="auto"/>
        <w:rPr>
          <w:lang w:val="en-GB"/>
        </w:rPr>
      </w:pPr>
      <w:r w:rsidRPr="00493A70">
        <w:rPr>
          <w:lang w:val="en-GB"/>
        </w:rPr>
        <w:br w:type="page"/>
      </w:r>
    </w:p>
    <w:p w:rsidR="00436563" w:rsidRPr="00493A70" w:rsidRDefault="00436563" w:rsidP="00E93524">
      <w:pPr>
        <w:rPr>
          <w:lang w:val="en-GB"/>
        </w:rPr>
      </w:pPr>
      <w:r w:rsidRPr="00493A70">
        <w:rPr>
          <w:lang w:val="en-GB"/>
        </w:rPr>
        <w:lastRenderedPageBreak/>
        <w:t>b. Association between a country’s  score on the Alcohol Policy Scale and alcohol consumption, circa. 2004</w:t>
      </w:r>
    </w:p>
    <w:p w:rsidR="00436563" w:rsidRPr="00493A70" w:rsidRDefault="00436563" w:rsidP="00E93524">
      <w:pPr>
        <w:rPr>
          <w:lang w:val="en-GB"/>
        </w:rPr>
      </w:pPr>
    </w:p>
    <w:p w:rsidR="00436563" w:rsidRPr="00493A70" w:rsidRDefault="00953CB2" w:rsidP="00E93524">
      <w:pPr>
        <w:rPr>
          <w:lang w:val="en-GB"/>
        </w:rPr>
      </w:pPr>
      <w:r>
        <w:rPr>
          <w:noProof/>
          <w:lang w:val="nl-NL" w:eastAsia="nl-NL"/>
        </w:rPr>
        <w:drawing>
          <wp:inline distT="0" distB="0" distL="0" distR="0">
            <wp:extent cx="5353050" cy="3714750"/>
            <wp:effectExtent l="0" t="0" r="0" b="0"/>
            <wp:docPr id="8" name="Afbeelding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36563" w:rsidRPr="00493A70" w:rsidRDefault="00436563" w:rsidP="00E93524">
      <w:pPr>
        <w:rPr>
          <w:lang w:val="en-GB"/>
        </w:rPr>
      </w:pPr>
    </w:p>
    <w:p w:rsidR="00436563" w:rsidRPr="00493A70" w:rsidRDefault="00436563" w:rsidP="00E93524">
      <w:pPr>
        <w:rPr>
          <w:lang w:val="en-GB"/>
        </w:rPr>
      </w:pPr>
      <w:r w:rsidRPr="00493A70">
        <w:rPr>
          <w:lang w:val="en-GB"/>
        </w:rPr>
        <w:t xml:space="preserve">Alcohol Policy Scale score: country score (on a scale of 0-100) indicating completeness of implementation of a range of alcohol control policies, ca. 2002 </w:t>
      </w:r>
      <w:r w:rsidR="001D3206">
        <w:rPr>
          <w:lang w:val="en-GB"/>
        </w:rPr>
        <w:fldChar w:fldCharType="begin"/>
      </w:r>
      <w:r w:rsidR="009679B5">
        <w:rPr>
          <w:lang w:val="en-GB"/>
        </w:rPr>
        <w:instrText xml:space="preserve"> ADDIN EN.CITE &lt;EndNote&gt;&lt;Cite&gt;&lt;Author&gt;Brand&lt;/Author&gt;&lt;Year&gt;2007&lt;/Year&gt;&lt;RecNum&gt;104&lt;/RecNum&gt;&lt;DisplayText&gt;[81]&lt;/DisplayText&gt;&lt;record&gt;&lt;rec-number&gt;104&lt;/rec-number&gt;&lt;foreign-keys&gt;&lt;key app="EN" db-id="x0x5v9tejav5faewxt4xwrd5aav2xredt5zf"&gt;104&lt;/key&gt;&lt;/foreign-keys&gt;&lt;ref-type name="Journal Article"&gt;17&lt;/ref-type&gt;&lt;contributors&gt;&lt;authors&gt;&lt;author&gt;Brand, D. A.&lt;/author&gt;&lt;author&gt;Saisana, M.&lt;/author&gt;&lt;author&gt;Rynn, L. A.&lt;/author&gt;&lt;author&gt;Pennoni, F.&lt;/author&gt;&lt;author&gt;Lowenfels, A. B.&lt;/author&gt;&lt;/authors&gt;&lt;/contributors&gt;&lt;auth-address&gt;Department of Medicine, New York Medical College, Valhalla, New York, United States of America.&lt;/auth-address&gt;&lt;titles&gt;&lt;title&gt;Comparative analysis of alcohol control policies in 30 countries&lt;/title&gt;&lt;secondary-title&gt;PLoS Med&lt;/secondary-title&gt;&lt;/titles&gt;&lt;periodical&gt;&lt;full-title&gt;PLoS Med&lt;/full-title&gt;&lt;/periodical&gt;&lt;pages&gt;e151&lt;/pages&gt;&lt;volume&gt;4&lt;/volume&gt;&lt;number&gt;4&lt;/number&gt;&lt;edition&gt;2007/04/26&lt;/edition&gt;&lt;keywords&gt;&lt;keyword&gt;Alcohol Drinking/epidemiology/*legislation &amp;amp; jurisprudence/prevention &amp;amp; control&lt;/keyword&gt;&lt;keyword&gt;Alcohol-Related Disorders/epidemiology/prevention &amp;amp; control&lt;/keyword&gt;&lt;keyword&gt;Alcoholic Beverages&lt;/keyword&gt;&lt;keyword&gt;Cross-Sectional Studies&lt;/keyword&gt;&lt;keyword&gt;Health Policy/*legislation &amp;amp; jurisprudence&lt;/keyword&gt;&lt;keyword&gt;Humans&lt;/keyword&gt;&lt;keyword&gt;World Health&lt;/keyword&gt;&lt;keyword&gt;World Health Organization&lt;/keyword&gt;&lt;/keywords&gt;&lt;dates&gt;&lt;year&gt;2007&lt;/year&gt;&lt;pub-dates&gt;&lt;date&gt;Apr&lt;/date&gt;&lt;/pub-dates&gt;&lt;/dates&gt;&lt;isbn&gt;1549-1676 (Electronic)&amp;#xD;1549-1277 (Linking)&lt;/isbn&gt;&lt;accession-num&gt;17455992&lt;/accession-num&gt;&lt;urls&gt;&lt;related-urls&gt;&lt;url&gt;http://www.ncbi.nlm.nih.gov/entrez/query.fcgi?cmd=Retrieve&amp;amp;db=PubMed&amp;amp;dopt=Citation&amp;amp;list_uids=17455992&lt;/url&gt;&lt;/related-urls&gt;&lt;/urls&gt;&lt;custom2&gt;1876414&lt;/custom2&gt;&lt;electronic-resource-num&gt;06-PLME-RA-0663R2 [pii]&amp;#xD;10.1371/journal.pmed.0040151&lt;/electronic-resource-num&gt;&lt;language&gt;eng&lt;/language&gt;&lt;/record&gt;&lt;/Cite&gt;&lt;/EndNote&gt;</w:instrText>
      </w:r>
      <w:r w:rsidR="001D3206">
        <w:rPr>
          <w:lang w:val="en-GB"/>
        </w:rPr>
        <w:fldChar w:fldCharType="separate"/>
      </w:r>
      <w:r w:rsidR="00E968A4" w:rsidRPr="00E968A4">
        <w:rPr>
          <w:noProof/>
          <w:vertAlign w:val="superscript"/>
          <w:lang w:val="en-GB"/>
        </w:rPr>
        <w:t>88</w:t>
      </w:r>
      <w:r w:rsidR="001D3206">
        <w:rPr>
          <w:lang w:val="en-GB"/>
        </w:rPr>
        <w:fldChar w:fldCharType="end"/>
      </w:r>
      <w:r w:rsidRPr="00493A70">
        <w:rPr>
          <w:lang w:val="en-GB"/>
        </w:rPr>
        <w:t xml:space="preserve">. Alcohol consumption: litres of alcohol per capita, ca. 2006 (source: WHO Health for All Database). </w:t>
      </w:r>
    </w:p>
    <w:p w:rsidR="00436563" w:rsidRPr="00493A70" w:rsidRDefault="00436563" w:rsidP="00E93524">
      <w:pPr>
        <w:rPr>
          <w:lang w:val="en-GB"/>
        </w:rPr>
      </w:pPr>
    </w:p>
    <w:p w:rsidR="00436563" w:rsidRPr="00493A70" w:rsidRDefault="00436563">
      <w:pPr>
        <w:spacing w:after="200" w:line="276" w:lineRule="auto"/>
        <w:rPr>
          <w:lang w:val="en-GB"/>
        </w:rPr>
      </w:pPr>
      <w:r w:rsidRPr="00493A70">
        <w:rPr>
          <w:lang w:val="en-GB"/>
        </w:rPr>
        <w:br w:type="page"/>
      </w:r>
    </w:p>
    <w:p w:rsidR="00436563" w:rsidRPr="00493A70" w:rsidRDefault="00436563" w:rsidP="00E93524">
      <w:pPr>
        <w:rPr>
          <w:lang w:val="en-GB"/>
        </w:rPr>
      </w:pPr>
      <w:r w:rsidRPr="00493A70">
        <w:rPr>
          <w:lang w:val="en-GB"/>
        </w:rPr>
        <w:lastRenderedPageBreak/>
        <w:t xml:space="preserve">c. Association between a country’s seat belt wearing rate and road traffic injury mortality among car occupants </w:t>
      </w:r>
    </w:p>
    <w:p w:rsidR="00436563" w:rsidRPr="00493A70" w:rsidRDefault="00436563" w:rsidP="00E93524">
      <w:pPr>
        <w:rPr>
          <w:lang w:val="en-GB"/>
        </w:rPr>
      </w:pPr>
    </w:p>
    <w:p w:rsidR="00436563" w:rsidRPr="00493A70" w:rsidRDefault="00953CB2" w:rsidP="00E93524">
      <w:pPr>
        <w:rPr>
          <w:lang w:val="en-GB"/>
        </w:rPr>
      </w:pPr>
      <w:r>
        <w:rPr>
          <w:noProof/>
          <w:lang w:val="nl-NL" w:eastAsia="nl-NL"/>
        </w:rPr>
        <w:drawing>
          <wp:inline distT="0" distB="0" distL="0" distR="0">
            <wp:extent cx="4267200" cy="3750566"/>
            <wp:effectExtent l="0" t="0" r="0" b="2284"/>
            <wp:docPr id="9" name="Grafiek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36563" w:rsidRPr="00493A70" w:rsidRDefault="00436563" w:rsidP="00E93524">
      <w:pPr>
        <w:rPr>
          <w:lang w:val="en-GB"/>
        </w:rPr>
      </w:pPr>
    </w:p>
    <w:p w:rsidR="00436563" w:rsidRPr="00493A70" w:rsidRDefault="00436563" w:rsidP="00E93524">
      <w:pPr>
        <w:rPr>
          <w:lang w:val="en-GB"/>
        </w:rPr>
      </w:pPr>
      <w:r w:rsidRPr="00493A70">
        <w:rPr>
          <w:lang w:val="en-GB"/>
        </w:rPr>
        <w:t xml:space="preserve">Seat belt wearing: Observed seat belt wearing rate (%) among front seat occupants, ca. 2006 </w:t>
      </w:r>
      <w:r w:rsidR="001D3206">
        <w:rPr>
          <w:lang w:val="en-GB"/>
        </w:rPr>
        <w:fldChar w:fldCharType="begin"/>
      </w:r>
      <w:r w:rsidR="009679B5">
        <w:rPr>
          <w:lang w:val="en-GB"/>
        </w:rPr>
        <w:instrText xml:space="preserve"> ADDIN EN.CITE &lt;EndNote&gt;&lt;Cite&gt;&lt;Author&gt;World Health Organization&lt;/Author&gt;&lt;Year&gt;2009&lt;/Year&gt;&lt;RecNum&gt;103&lt;/RecNum&gt;&lt;DisplayText&gt;[42]&lt;/DisplayText&gt;&lt;record&gt;&lt;rec-number&gt;103&lt;/rec-number&gt;&lt;foreign-keys&gt;&lt;key app="EN" db-id="x0x5v9tejav5faewxt4xwrd5aav2xredt5zf"&gt;103&lt;/key&gt;&lt;/foreign-keys&gt;&lt;ref-type name="Report"&gt;27&lt;/ref-type&gt;&lt;contributors&gt;&lt;authors&gt;&lt;author&gt;World Health Organization,&lt;/author&gt;&lt;/authors&gt;&lt;/contributors&gt;&lt;titles&gt;&lt;title&gt;European status report on road safety. &lt;/title&gt;&lt;/titles&gt;&lt;dates&gt;&lt;year&gt;2009&lt;/year&gt;&lt;/dates&gt;&lt;pub-location&gt;Copenhagen&lt;/pub-location&gt;&lt;publisher&gt;WHO Regional Office for Europe&lt;/publisher&gt;&lt;urls&gt;&lt;related-urls&gt;&lt;url&gt;http://www.euro.who.int/en/what-we-publish/abstracts/european-status-report-on-road-safety.-towards-safer-roads-and-healthier-transport-choices&lt;/url&gt;&lt;/related-urls&gt;&lt;/urls&gt;&lt;/record&gt;&lt;/Cite&gt;&lt;/EndNote&gt;</w:instrText>
      </w:r>
      <w:r w:rsidR="001D3206">
        <w:rPr>
          <w:lang w:val="en-GB"/>
        </w:rPr>
        <w:fldChar w:fldCharType="separate"/>
      </w:r>
      <w:r w:rsidR="00E968A4" w:rsidRPr="00E968A4">
        <w:rPr>
          <w:noProof/>
          <w:vertAlign w:val="superscript"/>
          <w:lang w:val="en-GB"/>
        </w:rPr>
        <w:t>48</w:t>
      </w:r>
      <w:r w:rsidR="001D3206">
        <w:rPr>
          <w:lang w:val="en-GB"/>
        </w:rPr>
        <w:fldChar w:fldCharType="end"/>
      </w:r>
      <w:r w:rsidRPr="00493A70">
        <w:rPr>
          <w:lang w:val="en-GB"/>
        </w:rPr>
        <w:t xml:space="preserve">. Road traffic injury mortality among car occupants: deaths per 10000 vehicles per year (calculated from WHO data </w:t>
      </w:r>
      <w:r w:rsidR="001D3206">
        <w:rPr>
          <w:lang w:val="en-GB"/>
        </w:rPr>
        <w:fldChar w:fldCharType="begin"/>
      </w:r>
      <w:r w:rsidR="009679B5">
        <w:rPr>
          <w:lang w:val="en-GB"/>
        </w:rPr>
        <w:instrText xml:space="preserve"> ADDIN EN.CITE &lt;EndNote&gt;&lt;Cite&gt;&lt;Author&gt;World Health Organization&lt;/Author&gt;&lt;Year&gt;2009&lt;/Year&gt;&lt;RecNum&gt;103&lt;/RecNum&gt;&lt;DisplayText&gt;[42]&lt;/DisplayText&gt;&lt;record&gt;&lt;rec-number&gt;103&lt;/rec-number&gt;&lt;foreign-keys&gt;&lt;key app="EN" db-id="x0x5v9tejav5faewxt4xwrd5aav2xredt5zf"&gt;103&lt;/key&gt;&lt;/foreign-keys&gt;&lt;ref-type name="Report"&gt;27&lt;/ref-type&gt;&lt;contributors&gt;&lt;authors&gt;&lt;author&gt;World Health Organization,&lt;/author&gt;&lt;/authors&gt;&lt;/contributors&gt;&lt;titles&gt;&lt;title&gt;European status report on road safety. &lt;/title&gt;&lt;/titles&gt;&lt;dates&gt;&lt;year&gt;2009&lt;/year&gt;&lt;/dates&gt;&lt;pub-location&gt;Copenhagen&lt;/pub-location&gt;&lt;publisher&gt;WHO Regional Office for Europe&lt;/publisher&gt;&lt;urls&gt;&lt;related-urls&gt;&lt;url&gt;http://www.euro.who.int/en/what-we-publish/abstracts/european-status-report-on-road-safety.-towards-safer-roads-and-healthier-transport-choices&lt;/url&gt;&lt;/related-urls&gt;&lt;/urls&gt;&lt;/record&gt;&lt;/Cite&gt;&lt;/EndNote&gt;</w:instrText>
      </w:r>
      <w:r w:rsidR="001D3206">
        <w:rPr>
          <w:lang w:val="en-GB"/>
        </w:rPr>
        <w:fldChar w:fldCharType="separate"/>
      </w:r>
      <w:r w:rsidR="00E968A4" w:rsidRPr="00E968A4">
        <w:rPr>
          <w:noProof/>
          <w:vertAlign w:val="superscript"/>
          <w:lang w:val="en-GB"/>
        </w:rPr>
        <w:t>48</w:t>
      </w:r>
      <w:r w:rsidR="001D3206">
        <w:rPr>
          <w:lang w:val="en-GB"/>
        </w:rPr>
        <w:fldChar w:fldCharType="end"/>
      </w:r>
      <w:r w:rsidRPr="00493A70">
        <w:rPr>
          <w:lang w:val="en-GB"/>
        </w:rPr>
        <w:t xml:space="preserve">). </w:t>
      </w:r>
    </w:p>
    <w:p w:rsidR="00436563" w:rsidRPr="00493A70" w:rsidRDefault="00436563" w:rsidP="00E93524">
      <w:pPr>
        <w:rPr>
          <w:lang w:val="en-GB"/>
        </w:rPr>
      </w:pPr>
    </w:p>
    <w:p w:rsidR="00436563" w:rsidRPr="00493A70" w:rsidRDefault="00436563" w:rsidP="00E93524">
      <w:pPr>
        <w:rPr>
          <w:lang w:val="en-GB"/>
        </w:rPr>
      </w:pPr>
    </w:p>
    <w:p w:rsidR="00436563" w:rsidRPr="00493A70" w:rsidRDefault="00436563" w:rsidP="00E93524">
      <w:pPr>
        <w:rPr>
          <w:lang w:val="en-GB"/>
        </w:rPr>
      </w:pPr>
    </w:p>
    <w:p w:rsidR="00436563" w:rsidRPr="00493A70" w:rsidRDefault="00436563" w:rsidP="00E93524">
      <w:pPr>
        <w:rPr>
          <w:lang w:val="en-GB"/>
        </w:rPr>
      </w:pPr>
    </w:p>
    <w:p w:rsidR="00436563" w:rsidRPr="00493A70" w:rsidRDefault="00436563">
      <w:pPr>
        <w:spacing w:after="200" w:line="276" w:lineRule="auto"/>
        <w:rPr>
          <w:lang w:val="en-GB"/>
        </w:rPr>
      </w:pPr>
      <w:r w:rsidRPr="00493A70">
        <w:rPr>
          <w:lang w:val="en-GB"/>
        </w:rPr>
        <w:br w:type="page"/>
      </w:r>
    </w:p>
    <w:p w:rsidR="00436563" w:rsidRPr="00F55466" w:rsidRDefault="00436563" w:rsidP="00B67AB1">
      <w:pPr>
        <w:pStyle w:val="Bijschrift"/>
        <w:rPr>
          <w:b w:val="0"/>
        </w:rPr>
      </w:pPr>
      <w:r w:rsidRPr="00493A70">
        <w:lastRenderedPageBreak/>
        <w:t xml:space="preserve">Figure </w:t>
      </w:r>
      <w:r w:rsidR="001D3206">
        <w:fldChar w:fldCharType="begin"/>
      </w:r>
      <w:r>
        <w:instrText xml:space="preserve"> SEQ Figure \* ARABIC </w:instrText>
      </w:r>
      <w:r w:rsidR="001D3206">
        <w:fldChar w:fldCharType="separate"/>
      </w:r>
      <w:r>
        <w:rPr>
          <w:noProof/>
        </w:rPr>
        <w:t>4</w:t>
      </w:r>
      <w:r w:rsidR="001D3206">
        <w:fldChar w:fldCharType="end"/>
      </w:r>
      <w:r w:rsidRPr="00493A70">
        <w:tab/>
      </w:r>
      <w:r w:rsidRPr="00F55466">
        <w:t>Mortality from transport accidents by NUTS2 region, EU27, Iceland, Switzerland and N</w:t>
      </w:r>
      <w:r>
        <w:t>orway; 3-year average (2007-2010</w:t>
      </w:r>
      <w:r w:rsidRPr="00F55466">
        <w:t xml:space="preserve"> or latest available)</w:t>
      </w:r>
    </w:p>
    <w:p w:rsidR="00436563" w:rsidRDefault="00953CB2" w:rsidP="00B67AB1">
      <w:pPr>
        <w:rPr>
          <w:rStyle w:val="inplacedisplayid1siteid1195"/>
          <w:i/>
        </w:rPr>
      </w:pPr>
      <w:r>
        <w:rPr>
          <w:i/>
          <w:noProof/>
          <w:lang w:val="nl-NL" w:eastAsia="nl-NL"/>
        </w:rPr>
        <w:drawing>
          <wp:inline distT="0" distB="0" distL="0" distR="0">
            <wp:extent cx="4600575" cy="4305300"/>
            <wp:effectExtent l="19050" t="0" r="9525" b="0"/>
            <wp:docPr id="10" name="Picture 1" descr="NUTS2 RTAs_Oct2012 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TS2 RTAs_Oct2012 update.jpg"/>
                    <pic:cNvPicPr>
                      <a:picLocks noChangeAspect="1" noChangeArrowheads="1"/>
                    </pic:cNvPicPr>
                  </pic:nvPicPr>
                  <pic:blipFill>
                    <a:blip r:embed="rId21"/>
                    <a:srcRect l="11584" t="2370" r="16054" b="1897"/>
                    <a:stretch>
                      <a:fillRect/>
                    </a:stretch>
                  </pic:blipFill>
                  <pic:spPr bwMode="auto">
                    <a:xfrm>
                      <a:off x="0" y="0"/>
                      <a:ext cx="4600575" cy="4305300"/>
                    </a:xfrm>
                    <a:prstGeom prst="rect">
                      <a:avLst/>
                    </a:prstGeom>
                    <a:noFill/>
                    <a:ln w="9525">
                      <a:noFill/>
                      <a:miter lim="800000"/>
                      <a:headEnd/>
                      <a:tailEnd/>
                    </a:ln>
                  </pic:spPr>
                </pic:pic>
              </a:graphicData>
            </a:graphic>
          </wp:inline>
        </w:drawing>
      </w:r>
    </w:p>
    <w:p w:rsidR="00436563" w:rsidRPr="00F55466" w:rsidRDefault="00436563" w:rsidP="00B67AB1">
      <w:pPr>
        <w:rPr>
          <w:i/>
        </w:rPr>
      </w:pPr>
      <w:r w:rsidRPr="00F55466">
        <w:rPr>
          <w:rStyle w:val="inplacedisplayid1siteid1195"/>
          <w:i/>
        </w:rPr>
        <w:t>© EuroGeographics for the administrative boundaries</w:t>
      </w:r>
    </w:p>
    <w:p w:rsidR="00436563" w:rsidRPr="00493A70" w:rsidRDefault="00436563" w:rsidP="00E93524">
      <w:pPr>
        <w:rPr>
          <w:lang w:val="en-GB"/>
        </w:rPr>
      </w:pPr>
    </w:p>
    <w:p w:rsidR="00436563" w:rsidRDefault="00436563">
      <w:pPr>
        <w:spacing w:after="200" w:line="276" w:lineRule="auto"/>
        <w:rPr>
          <w:lang w:val="en-GB"/>
        </w:rPr>
      </w:pPr>
      <w:r>
        <w:rPr>
          <w:lang w:val="en-GB"/>
        </w:rPr>
        <w:br w:type="page"/>
      </w:r>
    </w:p>
    <w:p w:rsidR="00436563" w:rsidRDefault="00436563" w:rsidP="003E7918">
      <w:r>
        <w:lastRenderedPageBreak/>
        <w:t>Web appendix</w:t>
      </w:r>
      <w:r>
        <w:tab/>
        <w:t>European mortality data (all data from the WHO Health for All database)</w:t>
      </w:r>
    </w:p>
    <w:tbl>
      <w:tblPr>
        <w:tblW w:w="6933" w:type="dxa"/>
        <w:tblInd w:w="94" w:type="dxa"/>
        <w:tblLook w:val="00A0" w:firstRow="1" w:lastRow="0" w:firstColumn="1" w:lastColumn="0" w:noHBand="0" w:noVBand="0"/>
      </w:tblPr>
      <w:tblGrid>
        <w:gridCol w:w="3430"/>
        <w:gridCol w:w="685"/>
        <w:gridCol w:w="898"/>
        <w:gridCol w:w="960"/>
        <w:gridCol w:w="960"/>
      </w:tblGrid>
      <w:tr w:rsidR="00436563" w:rsidRPr="00401111" w:rsidTr="00844D69">
        <w:trPr>
          <w:trHeight w:val="225"/>
        </w:trPr>
        <w:tc>
          <w:tcPr>
            <w:tcW w:w="5013" w:type="dxa"/>
            <w:gridSpan w:val="3"/>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Life expectancy at birth and age 65 in Europe, latest available year</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43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685"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89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430" w:type="dxa"/>
            <w:vMerge w:val="restart"/>
            <w:tcBorders>
              <w:top w:val="single" w:sz="4" w:space="0" w:color="auto"/>
              <w:left w:val="single" w:sz="4" w:space="0" w:color="auto"/>
              <w:bottom w:val="single" w:sz="4" w:space="0" w:color="000000"/>
              <w:right w:val="single" w:sz="4" w:space="0" w:color="auto"/>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country</w:t>
            </w:r>
          </w:p>
        </w:tc>
        <w:tc>
          <w:tcPr>
            <w:tcW w:w="1583" w:type="dxa"/>
            <w:gridSpan w:val="2"/>
            <w:tcBorders>
              <w:top w:val="single" w:sz="4" w:space="0" w:color="auto"/>
              <w:left w:val="nil"/>
              <w:bottom w:val="single" w:sz="4" w:space="0" w:color="auto"/>
              <w:right w:val="single" w:sz="4" w:space="0" w:color="000000"/>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Life expectancy at birth</w:t>
            </w:r>
          </w:p>
        </w:tc>
        <w:tc>
          <w:tcPr>
            <w:tcW w:w="1920" w:type="dxa"/>
            <w:gridSpan w:val="2"/>
            <w:tcBorders>
              <w:top w:val="single" w:sz="4" w:space="0" w:color="auto"/>
              <w:left w:val="nil"/>
              <w:bottom w:val="single" w:sz="4" w:space="0" w:color="auto"/>
              <w:right w:val="single" w:sz="4" w:space="0" w:color="000000"/>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Life expectancy at age 65</w:t>
            </w:r>
          </w:p>
        </w:tc>
      </w:tr>
      <w:tr w:rsidR="00436563" w:rsidRPr="00401111" w:rsidTr="00844D69">
        <w:trPr>
          <w:trHeight w:val="225"/>
        </w:trPr>
        <w:tc>
          <w:tcPr>
            <w:tcW w:w="3430" w:type="dxa"/>
            <w:vMerge/>
            <w:tcBorders>
              <w:top w:val="single" w:sz="4" w:space="0" w:color="auto"/>
              <w:left w:val="single" w:sz="4" w:space="0" w:color="auto"/>
              <w:bottom w:val="single" w:sz="4" w:space="0" w:color="000000"/>
              <w:right w:val="single" w:sz="4" w:space="0" w:color="auto"/>
            </w:tcBorders>
            <w:vAlign w:val="center"/>
          </w:tcPr>
          <w:p w:rsidR="00436563" w:rsidRPr="00113F3D" w:rsidRDefault="00436563" w:rsidP="00844D69">
            <w:pPr>
              <w:rPr>
                <w:rFonts w:cs="Calibri"/>
                <w:b/>
                <w:bCs/>
                <w:color w:val="000000"/>
                <w:sz w:val="16"/>
                <w:szCs w:val="16"/>
                <w:lang w:eastAsia="en-GB"/>
              </w:rPr>
            </w:pPr>
          </w:p>
        </w:tc>
        <w:tc>
          <w:tcPr>
            <w:tcW w:w="685" w:type="dxa"/>
            <w:tcBorders>
              <w:top w:val="nil"/>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males</w:t>
            </w:r>
          </w:p>
        </w:tc>
        <w:tc>
          <w:tcPr>
            <w:tcW w:w="898" w:type="dxa"/>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females</w:t>
            </w:r>
          </w:p>
        </w:tc>
        <w:tc>
          <w:tcPr>
            <w:tcW w:w="960" w:type="dxa"/>
            <w:tcBorders>
              <w:top w:val="nil"/>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males</w:t>
            </w:r>
          </w:p>
        </w:tc>
        <w:tc>
          <w:tcPr>
            <w:tcW w:w="960" w:type="dxa"/>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females</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73.7</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78.9</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76.9</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13.4</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78.0</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83.7</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21.6</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71.3</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76.3</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64.8</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76.6</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11.8</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16.9</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76.9</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82.5</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20.9</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70.8</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77.9</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17.4</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14.7</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84.1</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18.6</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81.0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15.5</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76.2</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16.4</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19.2</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70.7</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19.5</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77.0</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83.7</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17.6</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21.6</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77.8</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18.5</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22.9</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69.3</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13.7</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78.1</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83.1</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77.9</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70.3</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78.5</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83.9</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78.5</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79.3</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84.6</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18.4</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22.2</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63.7</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73.5</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15.6</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65.5</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73.7</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12.8</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15.7</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78.4</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13.4</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68.0</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13.6</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18.5</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78.8</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83.9</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17.7</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22.0</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79.3</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83.6</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18.6</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73.3</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79.1</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83.1</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17.9</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79.1</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83.5</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72.2</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82.7</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20.5</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66.8</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75.1</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12.7</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15.7</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70.2</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77.6</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62.9</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16.5</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71.8</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71.8</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79.4</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83.2</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16.9</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79.2</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85.4</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22.9</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79.7</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83.7</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18.4</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21.3</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80.4</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22.7</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71.2</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76.3</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73.0</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77.3</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62.5</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12.4</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65.2</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75.3</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16.1</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78.5</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82.6</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20.9</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68.2</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73.0</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13.0</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15.0</w:t>
            </w:r>
          </w:p>
        </w:tc>
      </w:tr>
      <w:tr w:rsidR="00436563" w:rsidRPr="00401111" w:rsidTr="00844D69">
        <w:trPr>
          <w:trHeight w:val="225"/>
        </w:trPr>
        <w:tc>
          <w:tcPr>
            <w:tcW w:w="343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685" w:type="dxa"/>
            <w:tcBorders>
              <w:top w:val="single" w:sz="4" w:space="0" w:color="auto"/>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77.0</w:t>
            </w:r>
          </w:p>
        </w:tc>
        <w:tc>
          <w:tcPr>
            <w:tcW w:w="898" w:type="dxa"/>
            <w:tcBorders>
              <w:top w:val="single" w:sz="4" w:space="0" w:color="auto"/>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82.9</w:t>
            </w:r>
          </w:p>
        </w:tc>
        <w:tc>
          <w:tcPr>
            <w:tcW w:w="960" w:type="dxa"/>
            <w:tcBorders>
              <w:top w:val="single" w:sz="4" w:space="0" w:color="auto"/>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17.4</w:t>
            </w:r>
          </w:p>
        </w:tc>
        <w:tc>
          <w:tcPr>
            <w:tcW w:w="960" w:type="dxa"/>
            <w:tcBorders>
              <w:top w:val="single" w:sz="4" w:space="0" w:color="auto"/>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78.4</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83.8</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21.7</w:t>
            </w:r>
          </w:p>
        </w:tc>
      </w:tr>
      <w:tr w:rsidR="00436563" w:rsidRPr="00401111" w:rsidTr="00844D69">
        <w:trPr>
          <w:trHeight w:val="225"/>
        </w:trPr>
        <w:tc>
          <w:tcPr>
            <w:tcW w:w="343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685"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71.6</w:t>
            </w:r>
          </w:p>
        </w:tc>
        <w:tc>
          <w:tcPr>
            <w:tcW w:w="898"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79.6</w:t>
            </w:r>
          </w:p>
        </w:tc>
        <w:tc>
          <w:tcPr>
            <w:tcW w:w="96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14.7</w:t>
            </w:r>
          </w:p>
        </w:tc>
        <w:tc>
          <w:tcPr>
            <w:tcW w:w="96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w:t>
            </w:r>
          </w:p>
        </w:tc>
      </w:tr>
      <w:tr w:rsidR="00436563" w:rsidRPr="00401111" w:rsidTr="00844D69">
        <w:trPr>
          <w:trHeight w:val="225"/>
        </w:trPr>
        <w:tc>
          <w:tcPr>
            <w:tcW w:w="343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685" w:type="dxa"/>
            <w:tcBorders>
              <w:top w:val="nil"/>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64.7</w:t>
            </w:r>
          </w:p>
        </w:tc>
        <w:tc>
          <w:tcPr>
            <w:tcW w:w="898" w:type="dxa"/>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74.7</w:t>
            </w:r>
          </w:p>
        </w:tc>
        <w:tc>
          <w:tcPr>
            <w:tcW w:w="960" w:type="dxa"/>
            <w:tcBorders>
              <w:top w:val="nil"/>
              <w:left w:val="nil"/>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12.4</w:t>
            </w:r>
          </w:p>
        </w:tc>
        <w:tc>
          <w:tcPr>
            <w:tcW w:w="960" w:type="dxa"/>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w:t>
            </w:r>
          </w:p>
        </w:tc>
      </w:tr>
    </w:tbl>
    <w:p w:rsidR="00436563" w:rsidRDefault="00436563" w:rsidP="003E7918"/>
    <w:p w:rsidR="00436563" w:rsidRDefault="00436563" w:rsidP="003E7918">
      <w:r>
        <w:br w:type="page"/>
      </w:r>
    </w:p>
    <w:tbl>
      <w:tblPr>
        <w:tblW w:w="7240" w:type="dxa"/>
        <w:tblInd w:w="94" w:type="dxa"/>
        <w:tblLook w:val="00A0" w:firstRow="1" w:lastRow="0" w:firstColumn="1" w:lastColumn="0" w:noHBand="0" w:noVBand="0"/>
      </w:tblPr>
      <w:tblGrid>
        <w:gridCol w:w="3069"/>
        <w:gridCol w:w="1091"/>
        <w:gridCol w:w="1540"/>
        <w:gridCol w:w="1540"/>
      </w:tblGrid>
      <w:tr w:rsidR="00436563" w:rsidRPr="00401111" w:rsidTr="00844D69">
        <w:trPr>
          <w:trHeight w:val="225"/>
        </w:trPr>
        <w:tc>
          <w:tcPr>
            <w:tcW w:w="4160" w:type="dxa"/>
            <w:gridSpan w:val="2"/>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Childhood mortality in Europe, latest available year</w:t>
            </w:r>
          </w:p>
        </w:tc>
        <w:tc>
          <w:tcPr>
            <w:tcW w:w="154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154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69"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154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154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69" w:type="dxa"/>
            <w:vMerge w:val="restart"/>
            <w:tcBorders>
              <w:top w:val="single" w:sz="4" w:space="0" w:color="auto"/>
              <w:left w:val="single" w:sz="4" w:space="0" w:color="auto"/>
              <w:bottom w:val="single" w:sz="4" w:space="0" w:color="000000"/>
              <w:right w:val="single" w:sz="4" w:space="0" w:color="auto"/>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country</w:t>
            </w:r>
          </w:p>
        </w:tc>
        <w:tc>
          <w:tcPr>
            <w:tcW w:w="1091" w:type="dxa"/>
            <w:vMerge w:val="restart"/>
            <w:tcBorders>
              <w:top w:val="single" w:sz="4" w:space="0" w:color="auto"/>
              <w:left w:val="single" w:sz="4" w:space="0" w:color="auto"/>
              <w:bottom w:val="single" w:sz="4" w:space="0" w:color="000000"/>
              <w:right w:val="single" w:sz="4" w:space="0" w:color="auto"/>
            </w:tcBorders>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Infant deaths per 1000 live births</w:t>
            </w:r>
          </w:p>
        </w:tc>
        <w:tc>
          <w:tcPr>
            <w:tcW w:w="3080" w:type="dxa"/>
            <w:gridSpan w:val="2"/>
            <w:tcBorders>
              <w:top w:val="single" w:sz="4" w:space="0" w:color="auto"/>
              <w:left w:val="nil"/>
              <w:bottom w:val="single" w:sz="4" w:space="0" w:color="auto"/>
              <w:right w:val="single" w:sz="4" w:space="0" w:color="000000"/>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SDR per 100,000, 0-14 year olds, all causes</w:t>
            </w:r>
          </w:p>
        </w:tc>
      </w:tr>
      <w:tr w:rsidR="00436563" w:rsidRPr="00401111" w:rsidTr="00844D69">
        <w:trPr>
          <w:trHeight w:val="225"/>
        </w:trPr>
        <w:tc>
          <w:tcPr>
            <w:tcW w:w="3069" w:type="dxa"/>
            <w:vMerge/>
            <w:tcBorders>
              <w:top w:val="single" w:sz="4" w:space="0" w:color="auto"/>
              <w:left w:val="single" w:sz="4" w:space="0" w:color="auto"/>
              <w:bottom w:val="single" w:sz="4" w:space="0" w:color="000000"/>
              <w:right w:val="single" w:sz="4" w:space="0" w:color="auto"/>
            </w:tcBorders>
            <w:vAlign w:val="center"/>
          </w:tcPr>
          <w:p w:rsidR="00436563" w:rsidRPr="00113F3D" w:rsidRDefault="00436563" w:rsidP="00844D69">
            <w:pPr>
              <w:rPr>
                <w:rFonts w:cs="Calibri"/>
                <w:b/>
                <w:bCs/>
                <w:color w:val="000000"/>
                <w:sz w:val="16"/>
                <w:szCs w:val="16"/>
                <w:lang w:eastAsia="en-GB"/>
              </w:rPr>
            </w:pPr>
          </w:p>
        </w:tc>
        <w:tc>
          <w:tcPr>
            <w:tcW w:w="1091" w:type="dxa"/>
            <w:vMerge/>
            <w:tcBorders>
              <w:top w:val="single" w:sz="4" w:space="0" w:color="auto"/>
              <w:left w:val="single" w:sz="4" w:space="0" w:color="auto"/>
              <w:bottom w:val="single" w:sz="4" w:space="0" w:color="000000"/>
              <w:right w:val="single" w:sz="4" w:space="0" w:color="auto"/>
            </w:tcBorders>
            <w:vAlign w:val="center"/>
          </w:tcPr>
          <w:p w:rsidR="00436563" w:rsidRPr="00113F3D" w:rsidRDefault="00436563" w:rsidP="00844D69">
            <w:pPr>
              <w:rPr>
                <w:rFonts w:cs="Calibri"/>
                <w:b/>
                <w:bCs/>
                <w:color w:val="000000"/>
                <w:sz w:val="16"/>
                <w:szCs w:val="16"/>
                <w:lang w:eastAsia="en-GB"/>
              </w:rPr>
            </w:pPr>
          </w:p>
        </w:tc>
        <w:tc>
          <w:tcPr>
            <w:tcW w:w="1540" w:type="dxa"/>
            <w:tcBorders>
              <w:top w:val="nil"/>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males</w:t>
            </w:r>
          </w:p>
        </w:tc>
        <w:tc>
          <w:tcPr>
            <w:tcW w:w="1540" w:type="dxa"/>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females</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129.3</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103.9</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10.2</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112.1</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98.7</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43.3</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36.6</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141.7</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115.4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72.3</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46.3</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40.0</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102.2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80.1</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50.0</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39.5</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24.0</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34.7</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29.7</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40.5</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30.9</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54.3</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38.0</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29.8</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24.0</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41.6</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157.1</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142.3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32.6</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5.1</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55.5</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26.6</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12.0</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42.5</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34.1</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40.6</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16.5</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196.7</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149.9</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22.3</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246.2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199.8</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67.6</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62.7</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54.9</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43.9</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28.8</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48.8</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67.3</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45.9</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30.9</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25.5</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32.7</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11.0</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135.0</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88.9</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111.3</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104.5</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57.6</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66.1</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24.1</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37.6</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35.9</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26.6</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36.0</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37.2</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256.7</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203.8</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75.9</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66.4</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32.8</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463.9</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374.7</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9.2</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110.4</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83.2</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47.2</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41.1</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15.0</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194.4</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155.0</w:t>
            </w:r>
          </w:p>
        </w:tc>
      </w:tr>
      <w:tr w:rsidR="00436563" w:rsidRPr="00401111" w:rsidTr="00844D69">
        <w:trPr>
          <w:trHeight w:val="225"/>
        </w:trPr>
        <w:tc>
          <w:tcPr>
            <w:tcW w:w="3069"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091" w:type="dxa"/>
            <w:tcBorders>
              <w:top w:val="single" w:sz="4" w:space="0" w:color="auto"/>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w:t>
            </w:r>
          </w:p>
        </w:tc>
        <w:tc>
          <w:tcPr>
            <w:tcW w:w="1540" w:type="dxa"/>
            <w:tcBorders>
              <w:top w:val="single" w:sz="4" w:space="0" w:color="auto"/>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46.3</w:t>
            </w:r>
          </w:p>
        </w:tc>
        <w:tc>
          <w:tcPr>
            <w:tcW w:w="1540" w:type="dxa"/>
            <w:tcBorders>
              <w:top w:val="single" w:sz="4" w:space="0" w:color="auto"/>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38.7</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40.7</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34.3</w:t>
            </w:r>
          </w:p>
        </w:tc>
      </w:tr>
      <w:tr w:rsidR="00436563" w:rsidRPr="00401111" w:rsidTr="00844D69">
        <w:trPr>
          <w:trHeight w:val="225"/>
        </w:trPr>
        <w:tc>
          <w:tcPr>
            <w:tcW w:w="3069" w:type="dxa"/>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091"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5.9</w:t>
            </w:r>
          </w:p>
        </w:tc>
        <w:tc>
          <w:tcPr>
            <w:tcW w:w="1540" w:type="dxa"/>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68.9</w:t>
            </w:r>
          </w:p>
        </w:tc>
        <w:tc>
          <w:tcPr>
            <w:tcW w:w="1540" w:type="dxa"/>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56.4</w:t>
            </w:r>
          </w:p>
        </w:tc>
      </w:tr>
      <w:tr w:rsidR="00436563" w:rsidRPr="00401111" w:rsidTr="00844D69">
        <w:trPr>
          <w:trHeight w:val="225"/>
        </w:trPr>
        <w:tc>
          <w:tcPr>
            <w:tcW w:w="3069"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091" w:type="dxa"/>
            <w:tcBorders>
              <w:top w:val="nil"/>
              <w:left w:val="nil"/>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11.3</w:t>
            </w:r>
          </w:p>
        </w:tc>
        <w:tc>
          <w:tcPr>
            <w:tcW w:w="1540" w:type="dxa"/>
            <w:tcBorders>
              <w:top w:val="nil"/>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153.7</w:t>
            </w:r>
          </w:p>
        </w:tc>
        <w:tc>
          <w:tcPr>
            <w:tcW w:w="1540" w:type="dxa"/>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120.7</w:t>
            </w:r>
          </w:p>
        </w:tc>
      </w:tr>
    </w:tbl>
    <w:p w:rsidR="00436563" w:rsidRDefault="00436563" w:rsidP="003E7918"/>
    <w:p w:rsidR="00436563" w:rsidRDefault="00436563" w:rsidP="003E7918">
      <w:r>
        <w:br w:type="page"/>
      </w:r>
    </w:p>
    <w:tbl>
      <w:tblPr>
        <w:tblW w:w="5000" w:type="pct"/>
        <w:tblLook w:val="00A0" w:firstRow="1" w:lastRow="0" w:firstColumn="1" w:lastColumn="0" w:noHBand="0" w:noVBand="0"/>
      </w:tblPr>
      <w:tblGrid>
        <w:gridCol w:w="3486"/>
        <w:gridCol w:w="663"/>
        <w:gridCol w:w="744"/>
        <w:gridCol w:w="702"/>
        <w:gridCol w:w="816"/>
        <w:gridCol w:w="709"/>
        <w:gridCol w:w="740"/>
        <w:gridCol w:w="688"/>
        <w:gridCol w:w="740"/>
      </w:tblGrid>
      <w:tr w:rsidR="00436563" w:rsidRPr="00401111" w:rsidTr="00844D69">
        <w:trPr>
          <w:trHeight w:val="225"/>
        </w:trPr>
        <w:tc>
          <w:tcPr>
            <w:tcW w:w="3168" w:type="pct"/>
            <w:gridSpan w:val="5"/>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 xml:space="preserve">All- and selected- cause mortality in Europe, all ages, SDR per 100,000, latest year available </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1766" w:type="pct"/>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1766" w:type="pct"/>
            <w:vMerge w:val="restart"/>
            <w:tcBorders>
              <w:top w:val="single" w:sz="4" w:space="0" w:color="auto"/>
              <w:left w:val="single" w:sz="4" w:space="0" w:color="auto"/>
              <w:bottom w:val="single" w:sz="4" w:space="0" w:color="000000"/>
              <w:right w:val="single" w:sz="4" w:space="0" w:color="auto"/>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country</w:t>
            </w:r>
          </w:p>
        </w:tc>
        <w:tc>
          <w:tcPr>
            <w:tcW w:w="701" w:type="pct"/>
            <w:gridSpan w:val="2"/>
            <w:tcBorders>
              <w:top w:val="single" w:sz="4" w:space="0" w:color="auto"/>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all causes</w:t>
            </w:r>
          </w:p>
        </w:tc>
        <w:tc>
          <w:tcPr>
            <w:tcW w:w="701" w:type="pct"/>
            <w:gridSpan w:val="2"/>
            <w:tcBorders>
              <w:top w:val="single" w:sz="4" w:space="0" w:color="auto"/>
              <w:left w:val="single" w:sz="4" w:space="0" w:color="auto"/>
              <w:bottom w:val="single" w:sz="4" w:space="0" w:color="auto"/>
              <w:right w:val="single" w:sz="4" w:space="0" w:color="000000"/>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circulatory diseases</w:t>
            </w:r>
          </w:p>
        </w:tc>
        <w:tc>
          <w:tcPr>
            <w:tcW w:w="916" w:type="pct"/>
            <w:gridSpan w:val="2"/>
            <w:tcBorders>
              <w:top w:val="single" w:sz="4" w:space="0" w:color="auto"/>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lung cancer</w:t>
            </w:r>
          </w:p>
        </w:tc>
        <w:tc>
          <w:tcPr>
            <w:tcW w:w="916" w:type="pct"/>
            <w:gridSpan w:val="2"/>
            <w:tcBorders>
              <w:top w:val="single" w:sz="4" w:space="0" w:color="auto"/>
              <w:left w:val="single" w:sz="4" w:space="0" w:color="auto"/>
              <w:bottom w:val="single" w:sz="4" w:space="0" w:color="auto"/>
              <w:right w:val="single" w:sz="4" w:space="0" w:color="000000"/>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external causes</w:t>
            </w:r>
          </w:p>
        </w:tc>
      </w:tr>
      <w:tr w:rsidR="00436563" w:rsidRPr="00401111" w:rsidTr="00844D69">
        <w:trPr>
          <w:trHeight w:val="225"/>
        </w:trPr>
        <w:tc>
          <w:tcPr>
            <w:tcW w:w="1766" w:type="pct"/>
            <w:vMerge/>
            <w:tcBorders>
              <w:top w:val="single" w:sz="4" w:space="0" w:color="auto"/>
              <w:left w:val="single" w:sz="4" w:space="0" w:color="auto"/>
              <w:bottom w:val="single" w:sz="4" w:space="0" w:color="000000"/>
              <w:right w:val="single" w:sz="4" w:space="0" w:color="auto"/>
            </w:tcBorders>
            <w:vAlign w:val="center"/>
          </w:tcPr>
          <w:p w:rsidR="00436563" w:rsidRPr="00113F3D" w:rsidRDefault="00436563" w:rsidP="00844D69">
            <w:pPr>
              <w:rPr>
                <w:rFonts w:cs="Calibri"/>
                <w:b/>
                <w:bCs/>
                <w:color w:val="000000"/>
                <w:sz w:val="16"/>
                <w:szCs w:val="16"/>
                <w:lang w:eastAsia="en-GB"/>
              </w:rPr>
            </w:pPr>
          </w:p>
        </w:tc>
        <w:tc>
          <w:tcPr>
            <w:tcW w:w="324" w:type="pct"/>
            <w:tcBorders>
              <w:top w:val="nil"/>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males</w:t>
            </w:r>
          </w:p>
        </w:tc>
        <w:tc>
          <w:tcPr>
            <w:tcW w:w="377" w:type="pct"/>
            <w:tcBorders>
              <w:top w:val="nil"/>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females</w:t>
            </w:r>
          </w:p>
        </w:tc>
        <w:tc>
          <w:tcPr>
            <w:tcW w:w="324" w:type="pct"/>
            <w:tcBorders>
              <w:top w:val="nil"/>
              <w:left w:val="single" w:sz="4" w:space="0" w:color="auto"/>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males</w:t>
            </w:r>
          </w:p>
        </w:tc>
        <w:tc>
          <w:tcPr>
            <w:tcW w:w="377" w:type="pct"/>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females</w:t>
            </w:r>
          </w:p>
        </w:tc>
        <w:tc>
          <w:tcPr>
            <w:tcW w:w="458" w:type="pct"/>
            <w:tcBorders>
              <w:top w:val="nil"/>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males</w:t>
            </w:r>
          </w:p>
        </w:tc>
        <w:tc>
          <w:tcPr>
            <w:tcW w:w="458" w:type="pct"/>
            <w:tcBorders>
              <w:top w:val="nil"/>
              <w:left w:val="nil"/>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females</w:t>
            </w:r>
          </w:p>
        </w:tc>
        <w:tc>
          <w:tcPr>
            <w:tcW w:w="458" w:type="pct"/>
            <w:tcBorders>
              <w:top w:val="nil"/>
              <w:left w:val="single" w:sz="4" w:space="0" w:color="auto"/>
              <w:bottom w:val="single" w:sz="4" w:space="0" w:color="auto"/>
              <w:right w:val="nil"/>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males</w:t>
            </w:r>
          </w:p>
        </w:tc>
        <w:tc>
          <w:tcPr>
            <w:tcW w:w="458" w:type="pct"/>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b/>
                <w:bCs/>
                <w:color w:val="000000"/>
                <w:sz w:val="16"/>
                <w:szCs w:val="16"/>
                <w:lang w:eastAsia="en-GB"/>
              </w:rPr>
            </w:pPr>
            <w:r w:rsidRPr="00113F3D">
              <w:rPr>
                <w:rFonts w:cs="Calibri"/>
                <w:b/>
                <w:bCs/>
                <w:color w:val="000000"/>
                <w:sz w:val="16"/>
                <w:szCs w:val="16"/>
                <w:lang w:eastAsia="en-GB"/>
              </w:rPr>
              <w:t>females</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992.5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653.1</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490.8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354.8</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11.7</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63.5</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1318.2</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847.9</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640.4</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450.6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84.5</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13.9</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63.6</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18.9</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699.4</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428.6</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252.5</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170.6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56.9</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20.1</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1098.5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799.3</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616.8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488.9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13.7</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1728.3</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790.1</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893.8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427.6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233.8</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50.8</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764.5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473.7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224.2</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19.2</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68.8</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30.3</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1199.7</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716.4</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732.4</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478.3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58.6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11.3</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13.8</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1023.3</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612.5</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440.3</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313.3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18.8</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77.6</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30.0</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615.4</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406.3</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222.2</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153.1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16.7</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940.8</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557.1</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424.4</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282.4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19.5</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74.8</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23.4</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826.8</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566.8</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243.8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154.4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44.2</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24.9</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1185.1</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555.9</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567.1</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310.6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11.2</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133.7</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28.7</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754.7</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429.3</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288.3</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154.4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92.4</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30.6</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703.9</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387.6</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163.3</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61.8</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16.3</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66.1</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26.3</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1207.4</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674.2</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638.1</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368.0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31.8</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13.1</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697.1</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453.4</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246.5</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173.2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19.8</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40.8</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17.0</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693.2</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473.3</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271.0</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219.2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12.2</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48.3</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11.5</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1244.8</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677.5</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548.4</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331.0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106.3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37.5</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94.1</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29.3</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603.6</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422.5</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218.6</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131.9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48.8</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20.1</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673.7</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456.6</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228.2</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28.2</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50.7</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20.1</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632.3</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391.3</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205.3</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138.0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39.3</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15.3</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1714.7</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952.0</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813.6</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485.7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57.5</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198.1</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48.9</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1518.1</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933.0</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841.8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588.4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144.9</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34.3</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1351.5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671.5</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674.7</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353.1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9.3</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148.8</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32.2</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1394.5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652.7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667.0</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383.0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70.5</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197.9</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42.9</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678.6</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416.0</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211.2</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134.0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52.7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17.2</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60.5</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25.4</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625.5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429.4</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212.6</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167.3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41.1</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10.3</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996.3</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714.7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510.1</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415.4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53.7</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658.7</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454.3</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180.9</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31.9</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35.4</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646.4</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438.7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190.6</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42.5</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27.4</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26.6</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1064.5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556.9</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439.7</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259.9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84.5</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94.6</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20.8</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799.6</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470.7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210.3</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152.9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50.7</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17.6</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1488.5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888.7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797.4</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570.0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8.6</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146.1</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32.7</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1222.7</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724.8</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647.3</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453.9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13.1</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87.1</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22.2</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1805.9</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882.8</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939.4</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533.8</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248.8</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57.9</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1135.8</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787.0</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546.8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440.7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24.4</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60.9</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17.6</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1142.5</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635.9</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551.8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360.3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14.7</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84.3</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19.5</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800.1</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448.4</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269.2</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66.5</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19.4</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87.0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28.7</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641.3</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361.1</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168.7</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110.4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10.8</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34.7</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12.1</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619.0</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428.1</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227.5</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144.9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22.3</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50.7</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576.7</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376.4</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181.2</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115.9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18.8</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45.6</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20.4</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1131.8</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799.4</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672.8</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486.4</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49.7</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16.7</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1114.2</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790.7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626.9</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490.8</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12.1</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41.9</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15.5</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1651.2</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1081.2</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1017.4</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716.7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17.5</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97.3</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33.1</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1619.0</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864.8</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956.7</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590.7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55.1</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154.4</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33.2</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670.1</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473.7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210.5</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130.9</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49.0</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31.7</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37.3</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1334.3</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984.2</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858.2</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662.3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14.2</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77.0</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22.1</w:t>
            </w:r>
          </w:p>
        </w:tc>
      </w:tr>
      <w:tr w:rsidR="00436563" w:rsidRPr="00401111" w:rsidTr="00844D69">
        <w:trPr>
          <w:trHeight w:val="225"/>
        </w:trPr>
        <w:tc>
          <w:tcPr>
            <w:tcW w:w="1766" w:type="pct"/>
            <w:tcBorders>
              <w:top w:val="single" w:sz="4" w:space="0" w:color="auto"/>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324" w:type="pct"/>
            <w:tcBorders>
              <w:top w:val="single" w:sz="4" w:space="0" w:color="auto"/>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773.5</w:t>
            </w:r>
          </w:p>
        </w:tc>
        <w:tc>
          <w:tcPr>
            <w:tcW w:w="377" w:type="pct"/>
            <w:tcBorders>
              <w:top w:val="single" w:sz="4" w:space="0" w:color="auto"/>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468.2</w:t>
            </w:r>
          </w:p>
        </w:tc>
        <w:tc>
          <w:tcPr>
            <w:tcW w:w="324" w:type="pct"/>
            <w:tcBorders>
              <w:top w:val="single" w:sz="4" w:space="0" w:color="auto"/>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275.4</w:t>
            </w:r>
          </w:p>
        </w:tc>
        <w:tc>
          <w:tcPr>
            <w:tcW w:w="377" w:type="pct"/>
            <w:tcBorders>
              <w:top w:val="single" w:sz="4" w:space="0" w:color="auto"/>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178.9</w:t>
            </w:r>
          </w:p>
        </w:tc>
        <w:tc>
          <w:tcPr>
            <w:tcW w:w="458" w:type="pct"/>
            <w:tcBorders>
              <w:top w:val="single" w:sz="4" w:space="0" w:color="auto"/>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59.8</w:t>
            </w:r>
          </w:p>
        </w:tc>
        <w:tc>
          <w:tcPr>
            <w:tcW w:w="458" w:type="pct"/>
            <w:tcBorders>
              <w:top w:val="single" w:sz="4" w:space="0" w:color="auto"/>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19.7</w:t>
            </w:r>
          </w:p>
        </w:tc>
        <w:tc>
          <w:tcPr>
            <w:tcW w:w="458" w:type="pct"/>
            <w:tcBorders>
              <w:top w:val="single" w:sz="4" w:space="0" w:color="auto"/>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55.4</w:t>
            </w:r>
          </w:p>
        </w:tc>
        <w:tc>
          <w:tcPr>
            <w:tcW w:w="458" w:type="pct"/>
            <w:tcBorders>
              <w:top w:val="single" w:sz="4" w:space="0" w:color="auto"/>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19.2</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680.8</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427.7</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208.7</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137.7</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19.7</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45.9</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18.3</w:t>
            </w:r>
          </w:p>
        </w:tc>
      </w:tr>
      <w:tr w:rsidR="00436563" w:rsidRPr="00401111" w:rsidTr="00844D69">
        <w:trPr>
          <w:trHeight w:val="225"/>
        </w:trPr>
        <w:tc>
          <w:tcPr>
            <w:tcW w:w="1766" w:type="pct"/>
            <w:tcBorders>
              <w:top w:val="nil"/>
              <w:left w:val="single" w:sz="4" w:space="0" w:color="auto"/>
              <w:bottom w:val="nil"/>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324"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1127.6</w:t>
            </w:r>
          </w:p>
        </w:tc>
        <w:tc>
          <w:tcPr>
            <w:tcW w:w="377"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623.1</w:t>
            </w:r>
          </w:p>
        </w:tc>
        <w:tc>
          <w:tcPr>
            <w:tcW w:w="324"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532.3</w:t>
            </w:r>
          </w:p>
        </w:tc>
        <w:tc>
          <w:tcPr>
            <w:tcW w:w="377"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337.6</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77.3</w:t>
            </w:r>
          </w:p>
        </w:tc>
        <w:tc>
          <w:tcPr>
            <w:tcW w:w="458" w:type="pct"/>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19.7</w:t>
            </w:r>
          </w:p>
        </w:tc>
        <w:tc>
          <w:tcPr>
            <w:tcW w:w="458" w:type="pct"/>
            <w:tcBorders>
              <w:top w:val="nil"/>
              <w:left w:val="single" w:sz="4" w:space="0" w:color="auto"/>
              <w:bottom w:val="nil"/>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92.3</w:t>
            </w:r>
          </w:p>
        </w:tc>
        <w:tc>
          <w:tcPr>
            <w:tcW w:w="458" w:type="pct"/>
            <w:tcBorders>
              <w:top w:val="nil"/>
              <w:left w:val="nil"/>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22.9</w:t>
            </w:r>
          </w:p>
        </w:tc>
      </w:tr>
      <w:tr w:rsidR="00436563" w:rsidRPr="00401111" w:rsidTr="00844D69">
        <w:trPr>
          <w:trHeight w:val="225"/>
        </w:trPr>
        <w:tc>
          <w:tcPr>
            <w:tcW w:w="1766" w:type="pct"/>
            <w:tcBorders>
              <w:top w:val="nil"/>
              <w:left w:val="single" w:sz="4" w:space="0" w:color="auto"/>
              <w:bottom w:val="single" w:sz="4" w:space="0" w:color="auto"/>
              <w:right w:val="single" w:sz="4" w:space="0" w:color="auto"/>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324" w:type="pct"/>
            <w:tcBorders>
              <w:top w:val="nil"/>
              <w:left w:val="nil"/>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1658.2</w:t>
            </w:r>
          </w:p>
        </w:tc>
        <w:tc>
          <w:tcPr>
            <w:tcW w:w="377" w:type="pct"/>
            <w:tcBorders>
              <w:top w:val="nil"/>
              <w:left w:val="nil"/>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887.7</w:t>
            </w:r>
          </w:p>
        </w:tc>
        <w:tc>
          <w:tcPr>
            <w:tcW w:w="324" w:type="pct"/>
            <w:tcBorders>
              <w:top w:val="nil"/>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899.1</w:t>
            </w:r>
          </w:p>
        </w:tc>
        <w:tc>
          <w:tcPr>
            <w:tcW w:w="377" w:type="pct"/>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548.0</w:t>
            </w:r>
          </w:p>
        </w:tc>
        <w:tc>
          <w:tcPr>
            <w:tcW w:w="458" w:type="pct"/>
            <w:tcBorders>
              <w:top w:val="nil"/>
              <w:left w:val="nil"/>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57.0</w:t>
            </w:r>
          </w:p>
        </w:tc>
        <w:tc>
          <w:tcPr>
            <w:tcW w:w="458" w:type="pct"/>
            <w:tcBorders>
              <w:top w:val="nil"/>
              <w:left w:val="nil"/>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w:t>
            </w:r>
          </w:p>
        </w:tc>
        <w:tc>
          <w:tcPr>
            <w:tcW w:w="458" w:type="pct"/>
            <w:tcBorders>
              <w:top w:val="nil"/>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191.4</w:t>
            </w:r>
          </w:p>
        </w:tc>
        <w:tc>
          <w:tcPr>
            <w:tcW w:w="458" w:type="pct"/>
            <w:tcBorders>
              <w:top w:val="nil"/>
              <w:left w:val="nil"/>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45.0</w:t>
            </w:r>
          </w:p>
        </w:tc>
      </w:tr>
    </w:tbl>
    <w:p w:rsidR="00436563" w:rsidRDefault="00436563" w:rsidP="003E7918"/>
    <w:p w:rsidR="00436563" w:rsidRDefault="00436563" w:rsidP="003E7918">
      <w:r>
        <w:br w:type="page"/>
      </w:r>
    </w:p>
    <w:tbl>
      <w:tblPr>
        <w:tblW w:w="8120" w:type="dxa"/>
        <w:tblInd w:w="93" w:type="dxa"/>
        <w:tblLook w:val="00A0" w:firstRow="1" w:lastRow="0" w:firstColumn="1" w:lastColumn="0" w:noHBand="0" w:noVBand="0"/>
      </w:tblPr>
      <w:tblGrid>
        <w:gridCol w:w="3040"/>
        <w:gridCol w:w="880"/>
        <w:gridCol w:w="280"/>
        <w:gridCol w:w="3040"/>
        <w:gridCol w:w="880"/>
      </w:tblGrid>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Life expectancy at birth, in years, male</w:t>
            </w: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Life expectancy at birth, in years, female</w:t>
            </w: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880"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LE0</w:t>
            </w:r>
          </w:p>
        </w:tc>
        <w:tc>
          <w:tcPr>
            <w:tcW w:w="2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880"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LE0</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80.44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85.43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85.02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79.73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84.75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79.61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79.32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84.14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79.27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83.94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79.16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83.85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79.13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83.74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79.05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83.66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78.78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83.65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83.46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78.14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83.21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77.92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83.09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77.78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83.03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76.97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76.93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82.69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82.58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76.56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82.54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76.21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80.98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74.58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80.84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73.72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73.62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80.76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73.27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80.01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72.99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78.97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71.81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78.93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71.78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78.47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71.33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71.21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77.96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77.95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77.86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70.59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70.29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77.28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70.15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77.03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69.34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76.92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68.64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76.57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68.15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66.83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75.26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65.48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75.09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65.24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74.77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73.69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63.69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73.53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62.94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73.03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62.48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69.84</w:t>
            </w:r>
          </w:p>
        </w:tc>
      </w:tr>
      <w:tr w:rsidR="00436563" w:rsidRPr="00401111" w:rsidTr="00844D69">
        <w:trPr>
          <w:trHeight w:val="225"/>
        </w:trPr>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880"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880"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76.99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82.88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78.39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83.75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71.62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79.59</w:t>
            </w:r>
          </w:p>
        </w:tc>
      </w:tr>
      <w:tr w:rsidR="00436563" w:rsidRPr="00401111" w:rsidTr="00844D69">
        <w:trPr>
          <w:trHeight w:val="225"/>
        </w:trPr>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880"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64.65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880"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74.71</w:t>
            </w:r>
          </w:p>
        </w:tc>
      </w:tr>
    </w:tbl>
    <w:p w:rsidR="00436563" w:rsidRDefault="00436563" w:rsidP="003E7918"/>
    <w:p w:rsidR="00436563" w:rsidRDefault="00436563" w:rsidP="003E7918">
      <w:r>
        <w:br w:type="page"/>
      </w:r>
    </w:p>
    <w:tbl>
      <w:tblPr>
        <w:tblW w:w="8120" w:type="dxa"/>
        <w:tblInd w:w="94" w:type="dxa"/>
        <w:tblLook w:val="00A0" w:firstRow="1" w:lastRow="0" w:firstColumn="1" w:lastColumn="0" w:noHBand="0" w:noVBand="0"/>
      </w:tblPr>
      <w:tblGrid>
        <w:gridCol w:w="3040"/>
        <w:gridCol w:w="880"/>
        <w:gridCol w:w="280"/>
        <w:gridCol w:w="3040"/>
        <w:gridCol w:w="880"/>
      </w:tblGrid>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Life expectancy at age 65, in years, male</w:t>
            </w: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Life expectancy at age 65, in years, female</w:t>
            </w: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8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880"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LE65</w:t>
            </w:r>
          </w:p>
        </w:tc>
        <w:tc>
          <w:tcPr>
            <w:tcW w:w="2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880"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LE65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19.17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22.91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22.87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18.66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22.65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22.18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18.58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21.97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18.49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18.43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21.55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17.96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17.72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20.95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20.88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17.21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20.87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16.89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20.27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16.41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15.54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19.49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15.18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19.24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15.16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19.13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18.52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14.69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14.22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14.08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14.04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17.75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14.02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17.41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13.99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13.97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13.68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16.86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13.59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16.53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13.37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13.37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13.01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16.16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16.09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12.69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16.07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12.36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15.66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12.21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15.66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12.21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11.75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14.93</w:t>
            </w:r>
          </w:p>
        </w:tc>
      </w:tr>
      <w:tr w:rsidR="00436563" w:rsidRPr="00401111" w:rsidTr="00844D69">
        <w:trPr>
          <w:trHeight w:val="225"/>
        </w:trPr>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880"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880"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17.44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21.66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14.69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880"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18.67</w:t>
            </w:r>
          </w:p>
        </w:tc>
      </w:tr>
      <w:tr w:rsidR="00436563" w:rsidRPr="00401111" w:rsidTr="00844D69">
        <w:trPr>
          <w:trHeight w:val="225"/>
        </w:trPr>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880"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12.43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880"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16.24</w:t>
            </w:r>
          </w:p>
        </w:tc>
      </w:tr>
    </w:tbl>
    <w:p w:rsidR="00436563" w:rsidRDefault="00436563" w:rsidP="003E7918"/>
    <w:p w:rsidR="00436563" w:rsidRDefault="00436563" w:rsidP="003E7918">
      <w:r>
        <w:br w:type="page"/>
      </w:r>
    </w:p>
    <w:tbl>
      <w:tblPr>
        <w:tblW w:w="4665" w:type="dxa"/>
        <w:tblInd w:w="94" w:type="dxa"/>
        <w:tblLook w:val="00A0" w:firstRow="1" w:lastRow="0" w:firstColumn="1" w:lastColumn="0" w:noHBand="0" w:noVBand="0"/>
      </w:tblPr>
      <w:tblGrid>
        <w:gridCol w:w="3040"/>
        <w:gridCol w:w="1625"/>
      </w:tblGrid>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Infant deaths per 1000 live births</w:t>
            </w:r>
          </w:p>
        </w:tc>
        <w:tc>
          <w:tcPr>
            <w:tcW w:w="1625"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625"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625"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rate per 1,000 live births</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5.13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9.17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9.82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10.22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16.48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32.78</w:t>
            </w:r>
          </w:p>
        </w:tc>
      </w:tr>
      <w:tr w:rsidR="00436563" w:rsidRPr="00401111" w:rsidTr="00844D69">
        <w:trPr>
          <w:trHeight w:val="225"/>
        </w:trPr>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625"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62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5.93</w:t>
            </w:r>
          </w:p>
        </w:tc>
      </w:tr>
      <w:tr w:rsidR="00436563" w:rsidRPr="00401111" w:rsidTr="00844D69">
        <w:trPr>
          <w:trHeight w:val="225"/>
        </w:trPr>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625"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11.26</w:t>
            </w:r>
          </w:p>
        </w:tc>
      </w:tr>
    </w:tbl>
    <w:p w:rsidR="00436563" w:rsidRDefault="00436563" w:rsidP="003E7918"/>
    <w:p w:rsidR="00436563" w:rsidRDefault="00436563" w:rsidP="003E7918">
      <w:r>
        <w:br w:type="page"/>
      </w:r>
    </w:p>
    <w:tbl>
      <w:tblPr>
        <w:tblW w:w="8572" w:type="dxa"/>
        <w:tblInd w:w="94" w:type="dxa"/>
        <w:tblLook w:val="00A0" w:firstRow="1" w:lastRow="0" w:firstColumn="1" w:lastColumn="0" w:noHBand="0" w:noVBand="0"/>
      </w:tblPr>
      <w:tblGrid>
        <w:gridCol w:w="3040"/>
        <w:gridCol w:w="1106"/>
        <w:gridCol w:w="280"/>
        <w:gridCol w:w="3040"/>
        <w:gridCol w:w="1106"/>
      </w:tblGrid>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SDR(0-14),males, All causes, per 100000</w:t>
            </w:r>
          </w:p>
        </w:tc>
        <w:tc>
          <w:tcPr>
            <w:tcW w:w="1106"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SDR(0-14),females All causes, per 100000</w:t>
            </w:r>
          </w:p>
        </w:tc>
        <w:tc>
          <w:tcPr>
            <w:tcW w:w="1106"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106"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106"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106"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c>
          <w:tcPr>
            <w:tcW w:w="2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106"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24.04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12.04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24.09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23.99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26.56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25.53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28.79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27.31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29.84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28.36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30.85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29.67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32.66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30.38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34.68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30.94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35.92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31.37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36.03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32.63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39.16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33.27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39.19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33.31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40.52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33.37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40.56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34.05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41.16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35.34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42.47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37.22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43.26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37.62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46.31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38.04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39.52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49.97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39.99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54.25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41.11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54.93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43.85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55.19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45.32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55.52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45.94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57.19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66.12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49.37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67.29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50.29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67.64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55.35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72.32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57.56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74.15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62.72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66.43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102.24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80.06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104.47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80.31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110.35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83.23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111.25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112.12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129.32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98.69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103.87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141.74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115.37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157.07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142.3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194.39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149.91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196.67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155.03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246.19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199.83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256.67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203.78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463.88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374.66</w:t>
            </w:r>
          </w:p>
        </w:tc>
      </w:tr>
      <w:tr w:rsidR="00436563" w:rsidRPr="00401111" w:rsidTr="00844D69">
        <w:trPr>
          <w:trHeight w:val="225"/>
        </w:trPr>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106"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106"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38.65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40.72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34.27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68.87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106"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56.41</w:t>
            </w:r>
          </w:p>
        </w:tc>
      </w:tr>
      <w:tr w:rsidR="00436563" w:rsidRPr="00401111" w:rsidTr="00844D69">
        <w:trPr>
          <w:trHeight w:val="225"/>
        </w:trPr>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106"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153.66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106"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120.71</w:t>
            </w:r>
          </w:p>
        </w:tc>
      </w:tr>
    </w:tbl>
    <w:p w:rsidR="00436563" w:rsidRDefault="00436563" w:rsidP="003E7918"/>
    <w:p w:rsidR="00436563" w:rsidRDefault="00436563" w:rsidP="003E7918">
      <w:r>
        <w:br w:type="page"/>
      </w:r>
    </w:p>
    <w:tbl>
      <w:tblPr>
        <w:tblW w:w="8576" w:type="dxa"/>
        <w:tblInd w:w="93" w:type="dxa"/>
        <w:tblLook w:val="00A0" w:firstRow="1" w:lastRow="0" w:firstColumn="1" w:lastColumn="0" w:noHBand="0" w:noVBand="0"/>
      </w:tblPr>
      <w:tblGrid>
        <w:gridCol w:w="3040"/>
        <w:gridCol w:w="1108"/>
        <w:gridCol w:w="280"/>
        <w:gridCol w:w="3040"/>
        <w:gridCol w:w="1108"/>
      </w:tblGrid>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SDR all causes, all ages, per 100000, male</w:t>
            </w:r>
          </w:p>
        </w:tc>
        <w:tc>
          <w:tcPr>
            <w:tcW w:w="110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SDR all causes, all ages, per 100000, female</w:t>
            </w:r>
          </w:p>
        </w:tc>
        <w:tc>
          <w:tcPr>
            <w:tcW w:w="110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10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10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108"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c>
          <w:tcPr>
            <w:tcW w:w="280"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040"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108"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576.74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361.06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603.57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376.43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615.39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387.59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391.25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625.52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406.33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632.26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415.98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641.25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646.42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428.13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658.71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428.64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670.06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429.29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673.72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429.36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678.63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438.73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693.18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448.44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697.07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453.44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699.38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454.34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703.9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456.63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754.68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470.65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764.51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473.26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473.67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800.1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473.69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826.76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555.93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940.8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556.9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992.46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557.11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996.3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566.79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1023.31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612.48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1064.53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635.85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1098.52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652.73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1114.24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653.07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1131.78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671.47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1135.76</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674.21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1142.52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677.46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1185.14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714.72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1199.74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716.44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1207.37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724.75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1222.69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786.99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1244.83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790.09</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1318.19</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790.68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1334.34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799.25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1351.51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799.44</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1394.47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847.87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1488.47</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864.83</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1518.13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882.75</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1619.02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888.68</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1651.22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932.96</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1714.68</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952</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1728.3</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984.17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1805.91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1081.23</w:t>
            </w:r>
          </w:p>
        </w:tc>
      </w:tr>
      <w:tr w:rsidR="00436563" w:rsidRPr="00401111" w:rsidTr="00844D69">
        <w:trPr>
          <w:trHeight w:val="225"/>
        </w:trPr>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108"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108"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773.51</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468.21</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680.82</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427.67</w:t>
            </w:r>
          </w:p>
        </w:tc>
      </w:tr>
      <w:tr w:rsidR="00436563" w:rsidRPr="00401111" w:rsidTr="00844D69">
        <w:trPr>
          <w:trHeight w:val="225"/>
        </w:trPr>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1127.55</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108"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623.07</w:t>
            </w:r>
          </w:p>
        </w:tc>
      </w:tr>
      <w:tr w:rsidR="00436563" w:rsidRPr="00401111" w:rsidTr="00844D69">
        <w:trPr>
          <w:trHeight w:val="225"/>
        </w:trPr>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108"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1658.24</w:t>
            </w:r>
          </w:p>
        </w:tc>
        <w:tc>
          <w:tcPr>
            <w:tcW w:w="280"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3040"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108"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887.65</w:t>
            </w:r>
          </w:p>
        </w:tc>
      </w:tr>
    </w:tbl>
    <w:p w:rsidR="00436563" w:rsidRDefault="00436563" w:rsidP="003E7918"/>
    <w:p w:rsidR="00436563" w:rsidRDefault="00436563" w:rsidP="003E7918">
      <w:r>
        <w:br w:type="page"/>
      </w:r>
    </w:p>
    <w:tbl>
      <w:tblPr>
        <w:tblW w:w="8120" w:type="dxa"/>
        <w:tblInd w:w="94" w:type="dxa"/>
        <w:tblLook w:val="00A0" w:firstRow="1" w:lastRow="0" w:firstColumn="1" w:lastColumn="0" w:noHBand="0" w:noVBand="0"/>
      </w:tblPr>
      <w:tblGrid>
        <w:gridCol w:w="2915"/>
        <w:gridCol w:w="1247"/>
        <w:gridCol w:w="222"/>
        <w:gridCol w:w="2745"/>
        <w:gridCol w:w="1175"/>
      </w:tblGrid>
      <w:tr w:rsidR="00436563" w:rsidRPr="00401111" w:rsidTr="00844D69">
        <w:trPr>
          <w:trHeight w:val="225"/>
        </w:trPr>
        <w:tc>
          <w:tcPr>
            <w:tcW w:w="4200" w:type="dxa"/>
            <w:gridSpan w:val="3"/>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SDR, diseases of circulatory system, all ages per 100000, male</w:t>
            </w:r>
          </w:p>
        </w:tc>
        <w:tc>
          <w:tcPr>
            <w:tcW w:w="3920" w:type="dxa"/>
            <w:gridSpan w:val="2"/>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SDR, diseases of circulatory system, all ages per 100000, female</w:t>
            </w:r>
          </w:p>
        </w:tc>
      </w:tr>
      <w:tr w:rsidR="00436563" w:rsidRPr="00401111" w:rsidTr="00844D69">
        <w:trPr>
          <w:trHeight w:val="225"/>
        </w:trPr>
        <w:tc>
          <w:tcPr>
            <w:tcW w:w="2915"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247"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175"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2915"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247"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c>
          <w:tcPr>
            <w:tcW w:w="3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745"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175"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163.34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94.68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168.71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110.37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180.85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115.87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181.21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190.58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119.41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205.27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130.89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210.27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131.88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210.46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134.01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211.19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137.95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212.56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141.72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218.59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144.88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222.24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148.96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224.2</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152.93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227.53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153.14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228.23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154.35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243.82</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154.39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246.49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167.27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252.46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170.57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269.18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173.15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271.03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178.05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288.33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219.24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424.41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259.91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439.69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282.38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440.34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310.56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490.75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313.29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510.08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331.01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546.76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353.12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548.41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354.76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551.8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360.25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567.06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368.01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616.83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383.01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626.9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415.43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638.07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427.62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640.44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440.65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647.3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450.57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666.96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453.92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672.81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478.31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674.66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485.67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732.42</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486.42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797.38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488.91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813.59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490.78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841.8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533.75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858.17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570.01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893.83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588.35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939.35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590.69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956.68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662.34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1017.41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716.72</w:t>
            </w:r>
          </w:p>
        </w:tc>
      </w:tr>
      <w:tr w:rsidR="00436563" w:rsidRPr="00401111" w:rsidTr="00844D69">
        <w:trPr>
          <w:trHeight w:val="225"/>
        </w:trPr>
        <w:tc>
          <w:tcPr>
            <w:tcW w:w="2915"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247"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175"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275.41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178.9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208.71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137.68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532.27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337.63</w:t>
            </w:r>
          </w:p>
        </w:tc>
      </w:tr>
      <w:tr w:rsidR="00436563" w:rsidRPr="00401111" w:rsidTr="00844D69">
        <w:trPr>
          <w:trHeight w:val="225"/>
        </w:trPr>
        <w:tc>
          <w:tcPr>
            <w:tcW w:w="2915"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247"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899.12</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175"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547.98</w:t>
            </w:r>
          </w:p>
        </w:tc>
      </w:tr>
    </w:tbl>
    <w:p w:rsidR="00436563" w:rsidRDefault="00436563" w:rsidP="003E7918"/>
    <w:p w:rsidR="00436563" w:rsidRDefault="00436563" w:rsidP="003E7918">
      <w:r>
        <w:br w:type="page"/>
      </w:r>
    </w:p>
    <w:tbl>
      <w:tblPr>
        <w:tblW w:w="8120" w:type="dxa"/>
        <w:tblInd w:w="94" w:type="dxa"/>
        <w:tblLook w:val="00A0" w:firstRow="1" w:lastRow="0" w:firstColumn="1" w:lastColumn="0" w:noHBand="0" w:noVBand="0"/>
      </w:tblPr>
      <w:tblGrid>
        <w:gridCol w:w="2915"/>
        <w:gridCol w:w="1247"/>
        <w:gridCol w:w="222"/>
        <w:gridCol w:w="2745"/>
        <w:gridCol w:w="1175"/>
      </w:tblGrid>
      <w:tr w:rsidR="00436563" w:rsidRPr="00401111" w:rsidTr="00844D69">
        <w:trPr>
          <w:trHeight w:val="225"/>
        </w:trPr>
        <w:tc>
          <w:tcPr>
            <w:tcW w:w="4200" w:type="dxa"/>
            <w:gridSpan w:val="3"/>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SDR, trachea/bronchus/lung cancer, all ages per 100000, male</w:t>
            </w:r>
          </w:p>
        </w:tc>
        <w:tc>
          <w:tcPr>
            <w:tcW w:w="3920" w:type="dxa"/>
            <w:gridSpan w:val="2"/>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SDR, trachea/bronchus/lung cancer, all ages per 100000, female</w:t>
            </w:r>
          </w:p>
        </w:tc>
      </w:tr>
      <w:tr w:rsidR="00436563" w:rsidRPr="00401111" w:rsidTr="00844D69">
        <w:trPr>
          <w:trHeight w:val="225"/>
        </w:trPr>
        <w:tc>
          <w:tcPr>
            <w:tcW w:w="2915"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247"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175"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2915"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247"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c>
          <w:tcPr>
            <w:tcW w:w="3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745"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175"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8.14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14.24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16.95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17.51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28.63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30.01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6.46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34.66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38.43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6.98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41.23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42.49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42.71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43.6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8.58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44.94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46.24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9.29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47.01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10.78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49.02</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11.16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49.26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11.28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49.86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11.71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50.31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12.12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52.65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12.15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55.05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12.63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57.23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13.09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13.86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58.55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61.44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14.52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61.8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14.71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63.24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63.44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17.19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63.93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18.64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66.05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66.16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66.46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66.99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67.55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19.48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68.58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68.64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19.84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70.5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22.33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72.09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23.61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73.23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75.09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27.43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76.27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28.15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79.88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31.74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84.48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31.9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84.54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36.59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84.97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37.46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106.32</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44.22</w:t>
            </w:r>
          </w:p>
        </w:tc>
      </w:tr>
      <w:tr w:rsidR="00436563" w:rsidRPr="00401111" w:rsidTr="00844D69">
        <w:trPr>
          <w:trHeight w:val="225"/>
        </w:trPr>
        <w:tc>
          <w:tcPr>
            <w:tcW w:w="2915"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247"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175"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59.79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55.25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19.65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77.25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19.72</w:t>
            </w:r>
          </w:p>
        </w:tc>
      </w:tr>
      <w:tr w:rsidR="00436563" w:rsidRPr="00401111" w:rsidTr="00844D69">
        <w:trPr>
          <w:trHeight w:val="225"/>
        </w:trPr>
        <w:tc>
          <w:tcPr>
            <w:tcW w:w="2915"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247"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56.96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175"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7.19</w:t>
            </w:r>
          </w:p>
        </w:tc>
      </w:tr>
    </w:tbl>
    <w:p w:rsidR="00436563" w:rsidRDefault="00436563" w:rsidP="003E7918"/>
    <w:p w:rsidR="00436563" w:rsidRDefault="00436563" w:rsidP="003E7918">
      <w:r>
        <w:br w:type="page"/>
      </w:r>
    </w:p>
    <w:tbl>
      <w:tblPr>
        <w:tblW w:w="8120" w:type="dxa"/>
        <w:tblInd w:w="94" w:type="dxa"/>
        <w:tblLook w:val="00A0" w:firstRow="1" w:lastRow="0" w:firstColumn="1" w:lastColumn="0" w:noHBand="0" w:noVBand="0"/>
      </w:tblPr>
      <w:tblGrid>
        <w:gridCol w:w="2915"/>
        <w:gridCol w:w="1247"/>
        <w:gridCol w:w="222"/>
        <w:gridCol w:w="2745"/>
        <w:gridCol w:w="1175"/>
      </w:tblGrid>
      <w:tr w:rsidR="00436563" w:rsidRPr="00401111" w:rsidTr="00844D69">
        <w:trPr>
          <w:trHeight w:val="225"/>
        </w:trPr>
        <w:tc>
          <w:tcPr>
            <w:tcW w:w="4200" w:type="dxa"/>
            <w:gridSpan w:val="3"/>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lastRenderedPageBreak/>
              <w:t>SDR, external cause injury and poison, all ages per 100000, male</w:t>
            </w:r>
          </w:p>
        </w:tc>
        <w:tc>
          <w:tcPr>
            <w:tcW w:w="3920" w:type="dxa"/>
            <w:gridSpan w:val="2"/>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r w:rsidRPr="00113F3D">
              <w:rPr>
                <w:rFonts w:cs="Calibri"/>
                <w:b/>
                <w:bCs/>
                <w:color w:val="000000"/>
                <w:sz w:val="16"/>
                <w:szCs w:val="16"/>
                <w:lang w:eastAsia="en-GB"/>
              </w:rPr>
              <w:t>SDR, external cause injury and poison, all ages per 100000, female</w:t>
            </w:r>
          </w:p>
        </w:tc>
      </w:tr>
      <w:tr w:rsidR="00436563" w:rsidRPr="00401111" w:rsidTr="00844D69">
        <w:trPr>
          <w:trHeight w:val="225"/>
        </w:trPr>
        <w:tc>
          <w:tcPr>
            <w:tcW w:w="2915"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247"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nil"/>
              <w:bottom w:val="nil"/>
              <w:right w:val="nil"/>
            </w:tcBorders>
            <w:noWrap/>
            <w:vAlign w:val="bottom"/>
          </w:tcPr>
          <w:p w:rsidR="00436563" w:rsidRPr="00113F3D" w:rsidRDefault="00436563" w:rsidP="00844D69">
            <w:pPr>
              <w:rPr>
                <w:rFonts w:cs="Calibri"/>
                <w:b/>
                <w:bCs/>
                <w:color w:val="000000"/>
                <w:sz w:val="16"/>
                <w:szCs w:val="16"/>
                <w:lang w:eastAsia="en-GB"/>
              </w:rPr>
            </w:pPr>
          </w:p>
        </w:tc>
        <w:tc>
          <w:tcPr>
            <w:tcW w:w="1175"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r>
      <w:tr w:rsidR="00436563" w:rsidRPr="00401111" w:rsidTr="00844D69">
        <w:trPr>
          <w:trHeight w:val="225"/>
        </w:trPr>
        <w:tc>
          <w:tcPr>
            <w:tcW w:w="2915"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247"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c>
          <w:tcPr>
            <w:tcW w:w="38" w:type="dxa"/>
            <w:tcBorders>
              <w:top w:val="nil"/>
              <w:left w:val="nil"/>
              <w:bottom w:val="nil"/>
              <w:right w:val="nil"/>
            </w:tcBorders>
            <w:noWrap/>
            <w:vAlign w:val="bottom"/>
          </w:tcPr>
          <w:p w:rsidR="00436563" w:rsidRPr="00113F3D" w:rsidRDefault="00436563" w:rsidP="00844D69">
            <w:pPr>
              <w:jc w:val="center"/>
              <w:rPr>
                <w:rFonts w:cs="Calibri"/>
                <w:color w:val="000000"/>
                <w:sz w:val="16"/>
                <w:szCs w:val="16"/>
                <w:lang w:eastAsia="en-GB"/>
              </w:rPr>
            </w:pPr>
          </w:p>
        </w:tc>
        <w:tc>
          <w:tcPr>
            <w:tcW w:w="2745" w:type="dxa"/>
            <w:tcBorders>
              <w:top w:val="single" w:sz="4" w:space="0" w:color="auto"/>
              <w:left w:val="single" w:sz="4" w:space="0" w:color="auto"/>
              <w:bottom w:val="single" w:sz="4" w:space="0" w:color="auto"/>
              <w:right w:val="nil"/>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country</w:t>
            </w:r>
          </w:p>
        </w:tc>
        <w:tc>
          <w:tcPr>
            <w:tcW w:w="1175" w:type="dxa"/>
            <w:tcBorders>
              <w:top w:val="single" w:sz="4" w:space="0" w:color="auto"/>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SDR per 100,000</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10.31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35.41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11.47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37.27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Spain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12.09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39.31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13.12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40.75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13.69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Malta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41.08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13.77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41.91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Italy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15.34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Azerbaijan (2007)</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45.01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TFYR Macedonia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15.48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45.59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United Kingdom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16.24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16.67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Greece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Cyprus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48.81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Germany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16.98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Tajikistan (2005)</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49.69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17.61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50.65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17.62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Portugal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50.69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Netherlands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17.96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50.71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Bulgaria (2011)</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52.97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18.87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Montenegro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53.96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Ireland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20.08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54.01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Iceland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20.13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56.91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Austria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20.14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60.5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Switzerland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20.39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Serbia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60.87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20.84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Georgia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62.01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Sweden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21.08</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63.47</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Albania (2004)</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21.2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Armenia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63.55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22.07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66.11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22.23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68.83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23.41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Czech Republic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74.75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Denmark (2006)</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24.89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Uzbekistan (2005)</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76.96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Luxembourg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25.42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77.55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France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26.31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Slovakia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84.28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Norway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26.56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87.04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Slovenia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28.67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Romania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87.05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28.69</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92.42</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29.31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Hungary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94.05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Croatia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29.97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Poland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94.56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Belgium (2006)</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30.27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97.28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Finland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30.55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Estonia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133.65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32.15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144.86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32.65</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Republic of Moldova (2011)</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146.11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Turkmenistan (1998)</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33.11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Latvia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148.75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33.2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Ukraine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154.41</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Kyrgyzstan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34.33</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197.85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Lithuania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42.86</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198.06</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Kazakhstan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48.91</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233.78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Belarus (2009)</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50.84</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248.83</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Russian Federation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57.9</w:t>
            </w:r>
          </w:p>
        </w:tc>
      </w:tr>
      <w:tr w:rsidR="00436563" w:rsidRPr="00401111" w:rsidTr="00844D69">
        <w:trPr>
          <w:trHeight w:val="225"/>
        </w:trPr>
        <w:tc>
          <w:tcPr>
            <w:tcW w:w="2915"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247"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single" w:sz="4" w:space="0" w:color="auto"/>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 </w:t>
            </w:r>
          </w:p>
        </w:tc>
        <w:tc>
          <w:tcPr>
            <w:tcW w:w="1175" w:type="dxa"/>
            <w:tcBorders>
              <w:top w:val="single" w:sz="4" w:space="0" w:color="auto"/>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 </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55.44</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19.22</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45.88</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before May 2004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18.27</w:t>
            </w:r>
          </w:p>
        </w:tc>
      </w:tr>
      <w:tr w:rsidR="00436563" w:rsidRPr="00401111" w:rsidTr="00844D69">
        <w:trPr>
          <w:trHeight w:val="225"/>
        </w:trPr>
        <w:tc>
          <w:tcPr>
            <w:tcW w:w="291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247"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92.25</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nil"/>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EU members since 2004 or 2007 (2010)</w:t>
            </w:r>
          </w:p>
        </w:tc>
        <w:tc>
          <w:tcPr>
            <w:tcW w:w="1175" w:type="dxa"/>
            <w:tcBorders>
              <w:top w:val="nil"/>
              <w:left w:val="single" w:sz="4" w:space="0" w:color="auto"/>
              <w:bottom w:val="nil"/>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22.88</w:t>
            </w:r>
          </w:p>
        </w:tc>
      </w:tr>
      <w:tr w:rsidR="00436563" w:rsidRPr="00401111" w:rsidTr="00844D69">
        <w:trPr>
          <w:trHeight w:val="225"/>
        </w:trPr>
        <w:tc>
          <w:tcPr>
            <w:tcW w:w="2915"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247"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191.39</w:t>
            </w:r>
          </w:p>
        </w:tc>
        <w:tc>
          <w:tcPr>
            <w:tcW w:w="38" w:type="dxa"/>
            <w:tcBorders>
              <w:top w:val="nil"/>
              <w:left w:val="nil"/>
              <w:bottom w:val="nil"/>
              <w:right w:val="nil"/>
            </w:tcBorders>
            <w:noWrap/>
            <w:vAlign w:val="bottom"/>
          </w:tcPr>
          <w:p w:rsidR="00436563" w:rsidRPr="00113F3D" w:rsidRDefault="00436563" w:rsidP="00844D69">
            <w:pPr>
              <w:rPr>
                <w:rFonts w:cs="Calibri"/>
                <w:color w:val="000000"/>
                <w:sz w:val="16"/>
                <w:szCs w:val="16"/>
                <w:lang w:eastAsia="en-GB"/>
              </w:rPr>
            </w:pPr>
          </w:p>
        </w:tc>
        <w:tc>
          <w:tcPr>
            <w:tcW w:w="2745" w:type="dxa"/>
            <w:tcBorders>
              <w:top w:val="nil"/>
              <w:left w:val="single" w:sz="4" w:space="0" w:color="auto"/>
              <w:bottom w:val="single" w:sz="4" w:space="0" w:color="auto"/>
              <w:right w:val="nil"/>
            </w:tcBorders>
            <w:noWrap/>
            <w:vAlign w:val="bottom"/>
          </w:tcPr>
          <w:p w:rsidR="00436563" w:rsidRPr="00113F3D" w:rsidRDefault="00436563" w:rsidP="00844D69">
            <w:pPr>
              <w:rPr>
                <w:rFonts w:cs="Calibri"/>
                <w:color w:val="000000"/>
                <w:sz w:val="16"/>
                <w:szCs w:val="16"/>
                <w:lang w:eastAsia="en-GB"/>
              </w:rPr>
            </w:pPr>
            <w:r w:rsidRPr="00113F3D">
              <w:rPr>
                <w:rFonts w:cs="Calibri"/>
                <w:color w:val="000000"/>
                <w:sz w:val="16"/>
                <w:szCs w:val="16"/>
                <w:lang w:eastAsia="en-GB"/>
              </w:rPr>
              <w:t>CIS (2010)</w:t>
            </w:r>
          </w:p>
        </w:tc>
        <w:tc>
          <w:tcPr>
            <w:tcW w:w="1175" w:type="dxa"/>
            <w:tcBorders>
              <w:top w:val="nil"/>
              <w:left w:val="single" w:sz="4" w:space="0" w:color="auto"/>
              <w:bottom w:val="single" w:sz="4" w:space="0" w:color="auto"/>
              <w:right w:val="single" w:sz="4" w:space="0" w:color="auto"/>
            </w:tcBorders>
            <w:noWrap/>
            <w:vAlign w:val="bottom"/>
          </w:tcPr>
          <w:p w:rsidR="00436563" w:rsidRPr="00113F3D" w:rsidRDefault="00436563" w:rsidP="00844D69">
            <w:pPr>
              <w:jc w:val="center"/>
              <w:rPr>
                <w:rFonts w:cs="Calibri"/>
                <w:color w:val="000000"/>
                <w:sz w:val="16"/>
                <w:szCs w:val="16"/>
                <w:lang w:eastAsia="en-GB"/>
              </w:rPr>
            </w:pPr>
            <w:r w:rsidRPr="00113F3D">
              <w:rPr>
                <w:rFonts w:cs="Calibri"/>
                <w:color w:val="000000"/>
                <w:sz w:val="16"/>
                <w:szCs w:val="16"/>
                <w:lang w:eastAsia="en-GB"/>
              </w:rPr>
              <w:t>45</w:t>
            </w:r>
          </w:p>
        </w:tc>
      </w:tr>
    </w:tbl>
    <w:p w:rsidR="00436563" w:rsidRDefault="00436563" w:rsidP="003E7918"/>
    <w:p w:rsidR="00436563" w:rsidRDefault="00436563">
      <w:pPr>
        <w:spacing w:after="200" w:line="276" w:lineRule="auto"/>
        <w:rPr>
          <w:lang w:val="en-GB"/>
        </w:rPr>
      </w:pPr>
    </w:p>
    <w:sectPr w:rsidR="00436563" w:rsidSect="00B67A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CD" w:rsidRDefault="00D75DCD" w:rsidP="00A918AC">
      <w:r>
        <w:separator/>
      </w:r>
    </w:p>
  </w:endnote>
  <w:endnote w:type="continuationSeparator" w:id="0">
    <w:p w:rsidR="00D75DCD" w:rsidRDefault="00D75DCD" w:rsidP="00A9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53" w:rsidRDefault="00656253">
    <w:pPr>
      <w:pStyle w:val="Voettekst"/>
      <w:jc w:val="center"/>
    </w:pPr>
    <w:r>
      <w:fldChar w:fldCharType="begin"/>
    </w:r>
    <w:r>
      <w:instrText xml:space="preserve"> PAGE   \* MERGEFORMAT </w:instrText>
    </w:r>
    <w:r>
      <w:fldChar w:fldCharType="separate"/>
    </w:r>
    <w:r w:rsidR="00D261D2">
      <w:rPr>
        <w:noProof/>
      </w:rPr>
      <w:t>1</w:t>
    </w:r>
    <w:r>
      <w:rPr>
        <w:noProof/>
      </w:rPr>
      <w:fldChar w:fldCharType="end"/>
    </w:r>
  </w:p>
  <w:p w:rsidR="00656253" w:rsidRDefault="0065625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CD" w:rsidRDefault="00D75DCD" w:rsidP="00A918AC">
      <w:r>
        <w:separator/>
      </w:r>
    </w:p>
  </w:footnote>
  <w:footnote w:type="continuationSeparator" w:id="0">
    <w:p w:rsidR="00D75DCD" w:rsidRDefault="00D75DCD" w:rsidP="00A91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D65C52"/>
    <w:lvl w:ilvl="0">
      <w:start w:val="1"/>
      <w:numFmt w:val="bullet"/>
      <w:lvlText w:val=""/>
      <w:lvlJc w:val="left"/>
      <w:pPr>
        <w:tabs>
          <w:tab w:val="num" w:pos="360"/>
        </w:tabs>
        <w:ind w:left="360" w:hanging="360"/>
      </w:pPr>
      <w:rPr>
        <w:rFonts w:ascii="Symbol" w:hAnsi="Symbol" w:hint="default"/>
      </w:rPr>
    </w:lvl>
  </w:abstractNum>
  <w:abstractNum w:abstractNumId="1">
    <w:nsid w:val="028903D2"/>
    <w:multiLevelType w:val="hybridMultilevel"/>
    <w:tmpl w:val="9FF64FD6"/>
    <w:lvl w:ilvl="0" w:tplc="0413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06767"/>
    <w:multiLevelType w:val="hybridMultilevel"/>
    <w:tmpl w:val="5C68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B22117B"/>
    <w:multiLevelType w:val="hybridMultilevel"/>
    <w:tmpl w:val="838CF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B507F0E"/>
    <w:multiLevelType w:val="hybridMultilevel"/>
    <w:tmpl w:val="39BA1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1D44A3"/>
    <w:multiLevelType w:val="hybridMultilevel"/>
    <w:tmpl w:val="5B4870F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BC65B40"/>
    <w:multiLevelType w:val="hybridMultilevel"/>
    <w:tmpl w:val="BF2CAF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7E02BA7"/>
    <w:multiLevelType w:val="hybridMultilevel"/>
    <w:tmpl w:val="BB14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0504A3"/>
    <w:multiLevelType w:val="hybridMultilevel"/>
    <w:tmpl w:val="CDC0F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58932BD"/>
    <w:multiLevelType w:val="hybridMultilevel"/>
    <w:tmpl w:val="82AEE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BBE2B10"/>
    <w:multiLevelType w:val="hybridMultilevel"/>
    <w:tmpl w:val="904A05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19D65E5"/>
    <w:multiLevelType w:val="hybridMultilevel"/>
    <w:tmpl w:val="A202A730"/>
    <w:lvl w:ilvl="0" w:tplc="04130001">
      <w:start w:val="1"/>
      <w:numFmt w:val="bullet"/>
      <w:pStyle w:val="Lijstopsomteken"/>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4D65F0"/>
    <w:multiLevelType w:val="hybridMultilevel"/>
    <w:tmpl w:val="C4AA68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2"/>
  </w:num>
  <w:num w:numId="4">
    <w:abstractNumId w:val="3"/>
  </w:num>
  <w:num w:numId="5">
    <w:abstractNumId w:val="8"/>
  </w:num>
  <w:num w:numId="6">
    <w:abstractNumId w:val="6"/>
  </w:num>
  <w:num w:numId="7">
    <w:abstractNumId w:val="10"/>
  </w:num>
  <w:num w:numId="8">
    <w:abstractNumId w:val="12"/>
  </w:num>
  <w:num w:numId="9">
    <w:abstractNumId w:val="7"/>
  </w:num>
  <w:num w:numId="10">
    <w:abstractNumId w:val="4"/>
  </w:num>
  <w:num w:numId="11">
    <w:abstractNumId w:val="1"/>
  </w:num>
  <w:num w:numId="12">
    <w:abstractNumId w:val="11"/>
  </w:num>
  <w:num w:numId="13">
    <w:abstractNumId w:val="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2CA51EB-12C3-403A-9F86-225163767AA7}"/>
    <w:docVar w:name="dgnword-eventsink" w:val="95493744"/>
    <w:docVar w:name="EN.InstantFormat" w:val="&lt;ENInstantFormat&gt;&lt;Enabled&gt;0&lt;/Enabled&gt;&lt;ScanUnformatted&gt;1&lt;/ScanUnformatted&gt;&lt;ScanChanges&gt;1&lt;/ScanChanges&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intro.enl&lt;/item&gt;&lt;/Libraries&gt;&lt;/ENLibraries&gt;"/>
  </w:docVars>
  <w:rsids>
    <w:rsidRoot w:val="00447A24"/>
    <w:rsid w:val="0000263F"/>
    <w:rsid w:val="00007458"/>
    <w:rsid w:val="0001766D"/>
    <w:rsid w:val="000232DB"/>
    <w:rsid w:val="00024535"/>
    <w:rsid w:val="00025D6A"/>
    <w:rsid w:val="00031041"/>
    <w:rsid w:val="00033650"/>
    <w:rsid w:val="00033EA7"/>
    <w:rsid w:val="000364EF"/>
    <w:rsid w:val="00041C76"/>
    <w:rsid w:val="00045F61"/>
    <w:rsid w:val="00061784"/>
    <w:rsid w:val="000657E8"/>
    <w:rsid w:val="00067763"/>
    <w:rsid w:val="00067D3A"/>
    <w:rsid w:val="00080B63"/>
    <w:rsid w:val="00091BAB"/>
    <w:rsid w:val="000947C3"/>
    <w:rsid w:val="000B4F3A"/>
    <w:rsid w:val="000C5009"/>
    <w:rsid w:val="000C5E0F"/>
    <w:rsid w:val="000D170D"/>
    <w:rsid w:val="000D79F7"/>
    <w:rsid w:val="000F78EB"/>
    <w:rsid w:val="001030B8"/>
    <w:rsid w:val="0010481D"/>
    <w:rsid w:val="001065F0"/>
    <w:rsid w:val="00106BF1"/>
    <w:rsid w:val="00113F3D"/>
    <w:rsid w:val="0011414A"/>
    <w:rsid w:val="0011601C"/>
    <w:rsid w:val="0011757B"/>
    <w:rsid w:val="00127854"/>
    <w:rsid w:val="001406BF"/>
    <w:rsid w:val="00140B9D"/>
    <w:rsid w:val="001544A6"/>
    <w:rsid w:val="001549E1"/>
    <w:rsid w:val="00155A95"/>
    <w:rsid w:val="00156241"/>
    <w:rsid w:val="001732E4"/>
    <w:rsid w:val="0017359B"/>
    <w:rsid w:val="00185D1F"/>
    <w:rsid w:val="0019190C"/>
    <w:rsid w:val="00191982"/>
    <w:rsid w:val="001937D4"/>
    <w:rsid w:val="00195F67"/>
    <w:rsid w:val="001A2F99"/>
    <w:rsid w:val="001A4382"/>
    <w:rsid w:val="001B3587"/>
    <w:rsid w:val="001B66B8"/>
    <w:rsid w:val="001B6FFE"/>
    <w:rsid w:val="001C147B"/>
    <w:rsid w:val="001C426A"/>
    <w:rsid w:val="001D3206"/>
    <w:rsid w:val="001D6E39"/>
    <w:rsid w:val="001F1F49"/>
    <w:rsid w:val="001F265C"/>
    <w:rsid w:val="00222E0F"/>
    <w:rsid w:val="00227251"/>
    <w:rsid w:val="00235B85"/>
    <w:rsid w:val="002472FC"/>
    <w:rsid w:val="002506A8"/>
    <w:rsid w:val="002528BB"/>
    <w:rsid w:val="0025640B"/>
    <w:rsid w:val="00257498"/>
    <w:rsid w:val="00261722"/>
    <w:rsid w:val="00263C93"/>
    <w:rsid w:val="00266171"/>
    <w:rsid w:val="00267850"/>
    <w:rsid w:val="0027315A"/>
    <w:rsid w:val="002865C5"/>
    <w:rsid w:val="00294BD8"/>
    <w:rsid w:val="00297F2B"/>
    <w:rsid w:val="002A06BE"/>
    <w:rsid w:val="002A3C5A"/>
    <w:rsid w:val="002B159B"/>
    <w:rsid w:val="002B6286"/>
    <w:rsid w:val="002D369B"/>
    <w:rsid w:val="002E2FA1"/>
    <w:rsid w:val="002F45E7"/>
    <w:rsid w:val="002F607C"/>
    <w:rsid w:val="0030517A"/>
    <w:rsid w:val="003212FF"/>
    <w:rsid w:val="003251A4"/>
    <w:rsid w:val="00325AE5"/>
    <w:rsid w:val="00326F29"/>
    <w:rsid w:val="0033158E"/>
    <w:rsid w:val="00334CCA"/>
    <w:rsid w:val="00336CD1"/>
    <w:rsid w:val="00352058"/>
    <w:rsid w:val="003522F6"/>
    <w:rsid w:val="003534C4"/>
    <w:rsid w:val="003734CD"/>
    <w:rsid w:val="00375E4B"/>
    <w:rsid w:val="003851CF"/>
    <w:rsid w:val="0039045C"/>
    <w:rsid w:val="00393837"/>
    <w:rsid w:val="00397889"/>
    <w:rsid w:val="003A4164"/>
    <w:rsid w:val="003A472B"/>
    <w:rsid w:val="003A5EC0"/>
    <w:rsid w:val="003B2464"/>
    <w:rsid w:val="003C09C1"/>
    <w:rsid w:val="003C54DF"/>
    <w:rsid w:val="003C7488"/>
    <w:rsid w:val="003D675E"/>
    <w:rsid w:val="003E31AD"/>
    <w:rsid w:val="003E4B2F"/>
    <w:rsid w:val="003E7918"/>
    <w:rsid w:val="003F1439"/>
    <w:rsid w:val="00401111"/>
    <w:rsid w:val="004018F3"/>
    <w:rsid w:val="00411990"/>
    <w:rsid w:val="0042097E"/>
    <w:rsid w:val="004237F6"/>
    <w:rsid w:val="004312BC"/>
    <w:rsid w:val="00436563"/>
    <w:rsid w:val="00436C24"/>
    <w:rsid w:val="00436F2A"/>
    <w:rsid w:val="00447A24"/>
    <w:rsid w:val="00447D46"/>
    <w:rsid w:val="00452588"/>
    <w:rsid w:val="00453CB5"/>
    <w:rsid w:val="00454619"/>
    <w:rsid w:val="004625C2"/>
    <w:rsid w:val="00466888"/>
    <w:rsid w:val="00467278"/>
    <w:rsid w:val="00470106"/>
    <w:rsid w:val="00480034"/>
    <w:rsid w:val="00481E64"/>
    <w:rsid w:val="004826EA"/>
    <w:rsid w:val="00487071"/>
    <w:rsid w:val="00493A70"/>
    <w:rsid w:val="0049445C"/>
    <w:rsid w:val="00496BD0"/>
    <w:rsid w:val="004A37EB"/>
    <w:rsid w:val="004B2C3C"/>
    <w:rsid w:val="004B4BE7"/>
    <w:rsid w:val="004B792F"/>
    <w:rsid w:val="004C3F02"/>
    <w:rsid w:val="004C6A33"/>
    <w:rsid w:val="004E7863"/>
    <w:rsid w:val="0050078A"/>
    <w:rsid w:val="00502806"/>
    <w:rsid w:val="00503955"/>
    <w:rsid w:val="00511B3B"/>
    <w:rsid w:val="005165D2"/>
    <w:rsid w:val="0051672D"/>
    <w:rsid w:val="00520A1A"/>
    <w:rsid w:val="005218AC"/>
    <w:rsid w:val="00521AB1"/>
    <w:rsid w:val="00524655"/>
    <w:rsid w:val="0053334D"/>
    <w:rsid w:val="0054012F"/>
    <w:rsid w:val="0056140A"/>
    <w:rsid w:val="00563895"/>
    <w:rsid w:val="00564EB4"/>
    <w:rsid w:val="00573437"/>
    <w:rsid w:val="00583A0E"/>
    <w:rsid w:val="005876CF"/>
    <w:rsid w:val="005948B6"/>
    <w:rsid w:val="00597F28"/>
    <w:rsid w:val="005A0916"/>
    <w:rsid w:val="005A1C93"/>
    <w:rsid w:val="005C08E7"/>
    <w:rsid w:val="005D4D82"/>
    <w:rsid w:val="005E3FDC"/>
    <w:rsid w:val="005E42FF"/>
    <w:rsid w:val="005F00A4"/>
    <w:rsid w:val="00603E64"/>
    <w:rsid w:val="00604559"/>
    <w:rsid w:val="00605CDD"/>
    <w:rsid w:val="00606178"/>
    <w:rsid w:val="00606C5F"/>
    <w:rsid w:val="006111B8"/>
    <w:rsid w:val="00611ACC"/>
    <w:rsid w:val="006144AB"/>
    <w:rsid w:val="006211CE"/>
    <w:rsid w:val="00623345"/>
    <w:rsid w:val="00626F50"/>
    <w:rsid w:val="006276C3"/>
    <w:rsid w:val="00631F2B"/>
    <w:rsid w:val="006327EA"/>
    <w:rsid w:val="006430B0"/>
    <w:rsid w:val="006441F9"/>
    <w:rsid w:val="00647071"/>
    <w:rsid w:val="00652913"/>
    <w:rsid w:val="00656253"/>
    <w:rsid w:val="00662266"/>
    <w:rsid w:val="00691640"/>
    <w:rsid w:val="006A13ED"/>
    <w:rsid w:val="006A48CC"/>
    <w:rsid w:val="006A5D88"/>
    <w:rsid w:val="006A6CFC"/>
    <w:rsid w:val="006B3A4B"/>
    <w:rsid w:val="006C45E1"/>
    <w:rsid w:val="006C7D7E"/>
    <w:rsid w:val="006D1787"/>
    <w:rsid w:val="006D4732"/>
    <w:rsid w:val="006E0430"/>
    <w:rsid w:val="006E1847"/>
    <w:rsid w:val="006E3B7F"/>
    <w:rsid w:val="006F280E"/>
    <w:rsid w:val="006F7142"/>
    <w:rsid w:val="007043D6"/>
    <w:rsid w:val="007050A5"/>
    <w:rsid w:val="00705668"/>
    <w:rsid w:val="007109EE"/>
    <w:rsid w:val="00714151"/>
    <w:rsid w:val="00716890"/>
    <w:rsid w:val="00723A13"/>
    <w:rsid w:val="00723AC0"/>
    <w:rsid w:val="007271A8"/>
    <w:rsid w:val="00733EC0"/>
    <w:rsid w:val="0073452A"/>
    <w:rsid w:val="007359A5"/>
    <w:rsid w:val="00745D76"/>
    <w:rsid w:val="00753E18"/>
    <w:rsid w:val="00754864"/>
    <w:rsid w:val="00756E81"/>
    <w:rsid w:val="00761536"/>
    <w:rsid w:val="00770D5D"/>
    <w:rsid w:val="007711BF"/>
    <w:rsid w:val="007817CA"/>
    <w:rsid w:val="00786D16"/>
    <w:rsid w:val="007C020E"/>
    <w:rsid w:val="007D0662"/>
    <w:rsid w:val="007F2098"/>
    <w:rsid w:val="007F2F73"/>
    <w:rsid w:val="007F71EC"/>
    <w:rsid w:val="0080029A"/>
    <w:rsid w:val="00804774"/>
    <w:rsid w:val="00813B39"/>
    <w:rsid w:val="0081661C"/>
    <w:rsid w:val="00822239"/>
    <w:rsid w:val="00823283"/>
    <w:rsid w:val="00830A75"/>
    <w:rsid w:val="00831B5B"/>
    <w:rsid w:val="00837955"/>
    <w:rsid w:val="00844D69"/>
    <w:rsid w:val="00845862"/>
    <w:rsid w:val="008475DD"/>
    <w:rsid w:val="0085142B"/>
    <w:rsid w:val="00852B54"/>
    <w:rsid w:val="00854AEC"/>
    <w:rsid w:val="0087201F"/>
    <w:rsid w:val="008728AE"/>
    <w:rsid w:val="00873880"/>
    <w:rsid w:val="00873CFC"/>
    <w:rsid w:val="00880335"/>
    <w:rsid w:val="008831B6"/>
    <w:rsid w:val="0088538B"/>
    <w:rsid w:val="00890E63"/>
    <w:rsid w:val="00892646"/>
    <w:rsid w:val="00896343"/>
    <w:rsid w:val="008A37A9"/>
    <w:rsid w:val="008C103A"/>
    <w:rsid w:val="008E0DF0"/>
    <w:rsid w:val="008E55BD"/>
    <w:rsid w:val="008E5AC3"/>
    <w:rsid w:val="008F0822"/>
    <w:rsid w:val="008F1882"/>
    <w:rsid w:val="008F2739"/>
    <w:rsid w:val="00904738"/>
    <w:rsid w:val="009048BE"/>
    <w:rsid w:val="00915F43"/>
    <w:rsid w:val="009268B4"/>
    <w:rsid w:val="00934424"/>
    <w:rsid w:val="00934B2A"/>
    <w:rsid w:val="00945AFE"/>
    <w:rsid w:val="0095165A"/>
    <w:rsid w:val="00953CB2"/>
    <w:rsid w:val="00954482"/>
    <w:rsid w:val="00960B26"/>
    <w:rsid w:val="00966283"/>
    <w:rsid w:val="009679B5"/>
    <w:rsid w:val="0097014D"/>
    <w:rsid w:val="00970EB2"/>
    <w:rsid w:val="0097284B"/>
    <w:rsid w:val="009735CC"/>
    <w:rsid w:val="009822D3"/>
    <w:rsid w:val="00983BCA"/>
    <w:rsid w:val="00986C64"/>
    <w:rsid w:val="0099474F"/>
    <w:rsid w:val="00996545"/>
    <w:rsid w:val="009A1368"/>
    <w:rsid w:val="009A1804"/>
    <w:rsid w:val="009B2D4C"/>
    <w:rsid w:val="009B6D5C"/>
    <w:rsid w:val="009C0CBD"/>
    <w:rsid w:val="009C4057"/>
    <w:rsid w:val="009C59F8"/>
    <w:rsid w:val="009D4E76"/>
    <w:rsid w:val="009F5708"/>
    <w:rsid w:val="009F7AEC"/>
    <w:rsid w:val="00A0426A"/>
    <w:rsid w:val="00A04759"/>
    <w:rsid w:val="00A17E9D"/>
    <w:rsid w:val="00A2349C"/>
    <w:rsid w:val="00A23AB2"/>
    <w:rsid w:val="00A2673E"/>
    <w:rsid w:val="00A311B0"/>
    <w:rsid w:val="00A31B3D"/>
    <w:rsid w:val="00A3632F"/>
    <w:rsid w:val="00A376AC"/>
    <w:rsid w:val="00A53307"/>
    <w:rsid w:val="00A54778"/>
    <w:rsid w:val="00A56084"/>
    <w:rsid w:val="00A60C6B"/>
    <w:rsid w:val="00A645AE"/>
    <w:rsid w:val="00A6470E"/>
    <w:rsid w:val="00A74289"/>
    <w:rsid w:val="00A76B98"/>
    <w:rsid w:val="00A77EA0"/>
    <w:rsid w:val="00A847CC"/>
    <w:rsid w:val="00A91057"/>
    <w:rsid w:val="00A918AC"/>
    <w:rsid w:val="00A93317"/>
    <w:rsid w:val="00A950F8"/>
    <w:rsid w:val="00AA7856"/>
    <w:rsid w:val="00AB2E65"/>
    <w:rsid w:val="00AB7DE3"/>
    <w:rsid w:val="00AC2034"/>
    <w:rsid w:val="00AC2323"/>
    <w:rsid w:val="00AD1E5D"/>
    <w:rsid w:val="00AD48AE"/>
    <w:rsid w:val="00AD56AA"/>
    <w:rsid w:val="00AE2C43"/>
    <w:rsid w:val="00AE362F"/>
    <w:rsid w:val="00AE4FB2"/>
    <w:rsid w:val="00AE589F"/>
    <w:rsid w:val="00B0225D"/>
    <w:rsid w:val="00B127F5"/>
    <w:rsid w:val="00B22349"/>
    <w:rsid w:val="00B22C9F"/>
    <w:rsid w:val="00B261F5"/>
    <w:rsid w:val="00B27FB4"/>
    <w:rsid w:val="00B41D06"/>
    <w:rsid w:val="00B46AB2"/>
    <w:rsid w:val="00B477A3"/>
    <w:rsid w:val="00B52FF9"/>
    <w:rsid w:val="00B57292"/>
    <w:rsid w:val="00B60964"/>
    <w:rsid w:val="00B60EE2"/>
    <w:rsid w:val="00B61FE8"/>
    <w:rsid w:val="00B63788"/>
    <w:rsid w:val="00B67AB1"/>
    <w:rsid w:val="00B70EC7"/>
    <w:rsid w:val="00B930BE"/>
    <w:rsid w:val="00B93868"/>
    <w:rsid w:val="00BA71A1"/>
    <w:rsid w:val="00BB0ECD"/>
    <w:rsid w:val="00BB2E86"/>
    <w:rsid w:val="00BB5228"/>
    <w:rsid w:val="00BB5D3F"/>
    <w:rsid w:val="00BB67CE"/>
    <w:rsid w:val="00BC15D8"/>
    <w:rsid w:val="00BC2D60"/>
    <w:rsid w:val="00BC7994"/>
    <w:rsid w:val="00BD0EF1"/>
    <w:rsid w:val="00BD1AC3"/>
    <w:rsid w:val="00BD1F8D"/>
    <w:rsid w:val="00BE295D"/>
    <w:rsid w:val="00BE6A90"/>
    <w:rsid w:val="00C127E2"/>
    <w:rsid w:val="00C25B5C"/>
    <w:rsid w:val="00C30F52"/>
    <w:rsid w:val="00C36C16"/>
    <w:rsid w:val="00C41414"/>
    <w:rsid w:val="00C513FC"/>
    <w:rsid w:val="00C5377F"/>
    <w:rsid w:val="00C6587B"/>
    <w:rsid w:val="00C663CA"/>
    <w:rsid w:val="00C74A29"/>
    <w:rsid w:val="00C807F6"/>
    <w:rsid w:val="00C84581"/>
    <w:rsid w:val="00C95B85"/>
    <w:rsid w:val="00C97D34"/>
    <w:rsid w:val="00CA4BB9"/>
    <w:rsid w:val="00CA64EF"/>
    <w:rsid w:val="00CB1AB0"/>
    <w:rsid w:val="00CB44B9"/>
    <w:rsid w:val="00CC08F7"/>
    <w:rsid w:val="00CC2524"/>
    <w:rsid w:val="00CD5288"/>
    <w:rsid w:val="00CE1D47"/>
    <w:rsid w:val="00CF52FE"/>
    <w:rsid w:val="00D143AB"/>
    <w:rsid w:val="00D237EB"/>
    <w:rsid w:val="00D261D2"/>
    <w:rsid w:val="00D420FA"/>
    <w:rsid w:val="00D631B9"/>
    <w:rsid w:val="00D64FF9"/>
    <w:rsid w:val="00D66443"/>
    <w:rsid w:val="00D67E78"/>
    <w:rsid w:val="00D74EEA"/>
    <w:rsid w:val="00D75DCD"/>
    <w:rsid w:val="00D76E0E"/>
    <w:rsid w:val="00D77EF3"/>
    <w:rsid w:val="00D812D8"/>
    <w:rsid w:val="00D82046"/>
    <w:rsid w:val="00D823F9"/>
    <w:rsid w:val="00D849ED"/>
    <w:rsid w:val="00D86FFF"/>
    <w:rsid w:val="00D90F8B"/>
    <w:rsid w:val="00DA1370"/>
    <w:rsid w:val="00DA1E54"/>
    <w:rsid w:val="00DC2424"/>
    <w:rsid w:val="00DD5B71"/>
    <w:rsid w:val="00DD6229"/>
    <w:rsid w:val="00DE6777"/>
    <w:rsid w:val="00DF0E3A"/>
    <w:rsid w:val="00DF0ED9"/>
    <w:rsid w:val="00DF4F2B"/>
    <w:rsid w:val="00E03E4F"/>
    <w:rsid w:val="00E04ABD"/>
    <w:rsid w:val="00E121E7"/>
    <w:rsid w:val="00E12A3B"/>
    <w:rsid w:val="00E22FB8"/>
    <w:rsid w:val="00E35466"/>
    <w:rsid w:val="00E35F8C"/>
    <w:rsid w:val="00E456BB"/>
    <w:rsid w:val="00E52F79"/>
    <w:rsid w:val="00E536AD"/>
    <w:rsid w:val="00E617D6"/>
    <w:rsid w:val="00E6205F"/>
    <w:rsid w:val="00E62ACF"/>
    <w:rsid w:val="00E7637C"/>
    <w:rsid w:val="00E76EAD"/>
    <w:rsid w:val="00E77324"/>
    <w:rsid w:val="00E85F81"/>
    <w:rsid w:val="00E872AF"/>
    <w:rsid w:val="00E93524"/>
    <w:rsid w:val="00E93D6E"/>
    <w:rsid w:val="00E968A4"/>
    <w:rsid w:val="00E96B54"/>
    <w:rsid w:val="00EA02A0"/>
    <w:rsid w:val="00EA3F97"/>
    <w:rsid w:val="00EB120A"/>
    <w:rsid w:val="00EB28AE"/>
    <w:rsid w:val="00EC3F39"/>
    <w:rsid w:val="00EC5CB8"/>
    <w:rsid w:val="00EF417E"/>
    <w:rsid w:val="00F1081F"/>
    <w:rsid w:val="00F3669F"/>
    <w:rsid w:val="00F522B2"/>
    <w:rsid w:val="00F55466"/>
    <w:rsid w:val="00F626BF"/>
    <w:rsid w:val="00F67DA9"/>
    <w:rsid w:val="00F73BDC"/>
    <w:rsid w:val="00F749CF"/>
    <w:rsid w:val="00F778C6"/>
    <w:rsid w:val="00F82B9C"/>
    <w:rsid w:val="00F853A0"/>
    <w:rsid w:val="00FB0465"/>
    <w:rsid w:val="00FB27C7"/>
    <w:rsid w:val="00FB30AD"/>
    <w:rsid w:val="00FB55F9"/>
    <w:rsid w:val="00FB6B7E"/>
    <w:rsid w:val="00FC2D57"/>
    <w:rsid w:val="00FC5626"/>
    <w:rsid w:val="00FD6377"/>
    <w:rsid w:val="00FF377D"/>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8F2739"/>
    <w:rPr>
      <w:sz w:val="24"/>
      <w:szCs w:val="24"/>
      <w:lang w:val="en-US" w:eastAsia="en-US"/>
    </w:rPr>
  </w:style>
  <w:style w:type="paragraph" w:styleId="Kop1">
    <w:name w:val="heading 1"/>
    <w:basedOn w:val="Standaard"/>
    <w:next w:val="Standaard"/>
    <w:link w:val="Kop1Char"/>
    <w:uiPriority w:val="99"/>
    <w:qFormat/>
    <w:rsid w:val="008F2739"/>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9"/>
    <w:qFormat/>
    <w:rsid w:val="008F2739"/>
    <w:pPr>
      <w:keepNext/>
      <w:spacing w:before="240" w:after="60"/>
      <w:outlineLvl w:val="1"/>
    </w:pPr>
    <w:rPr>
      <w:rFonts w:ascii="Cambria" w:eastAsia="Times New Roman" w:hAnsi="Cambria"/>
      <w:b/>
      <w:bCs/>
      <w:i/>
      <w:iCs/>
      <w:sz w:val="28"/>
      <w:szCs w:val="28"/>
    </w:rPr>
  </w:style>
  <w:style w:type="paragraph" w:styleId="Kop3">
    <w:name w:val="heading 3"/>
    <w:basedOn w:val="Standaard"/>
    <w:next w:val="Standaard"/>
    <w:link w:val="Kop3Char"/>
    <w:uiPriority w:val="99"/>
    <w:qFormat/>
    <w:rsid w:val="008F2739"/>
    <w:pPr>
      <w:keepNext/>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uiPriority w:val="99"/>
    <w:qFormat/>
    <w:rsid w:val="008F2739"/>
    <w:pPr>
      <w:keepNext/>
      <w:spacing w:before="240" w:after="60"/>
      <w:outlineLvl w:val="3"/>
    </w:pPr>
    <w:rPr>
      <w:b/>
      <w:bCs/>
      <w:sz w:val="28"/>
      <w:szCs w:val="28"/>
    </w:rPr>
  </w:style>
  <w:style w:type="paragraph" w:styleId="Kop5">
    <w:name w:val="heading 5"/>
    <w:basedOn w:val="Standaard"/>
    <w:next w:val="Standaard"/>
    <w:link w:val="Kop5Char"/>
    <w:uiPriority w:val="99"/>
    <w:qFormat/>
    <w:rsid w:val="008F2739"/>
    <w:pPr>
      <w:spacing w:before="240" w:after="60"/>
      <w:outlineLvl w:val="4"/>
    </w:pPr>
    <w:rPr>
      <w:b/>
      <w:bCs/>
      <w:i/>
      <w:iCs/>
      <w:sz w:val="26"/>
      <w:szCs w:val="26"/>
    </w:rPr>
  </w:style>
  <w:style w:type="paragraph" w:styleId="Kop6">
    <w:name w:val="heading 6"/>
    <w:basedOn w:val="Standaard"/>
    <w:next w:val="Standaard"/>
    <w:link w:val="Kop6Char"/>
    <w:uiPriority w:val="99"/>
    <w:qFormat/>
    <w:rsid w:val="008F2739"/>
    <w:pPr>
      <w:spacing w:before="240" w:after="60"/>
      <w:outlineLvl w:val="5"/>
    </w:pPr>
    <w:rPr>
      <w:b/>
      <w:bCs/>
      <w:sz w:val="22"/>
      <w:szCs w:val="22"/>
    </w:rPr>
  </w:style>
  <w:style w:type="paragraph" w:styleId="Kop7">
    <w:name w:val="heading 7"/>
    <w:basedOn w:val="Standaard"/>
    <w:next w:val="Standaard"/>
    <w:link w:val="Kop7Char"/>
    <w:uiPriority w:val="99"/>
    <w:qFormat/>
    <w:rsid w:val="008F2739"/>
    <w:pPr>
      <w:spacing w:before="240" w:after="60"/>
      <w:outlineLvl w:val="6"/>
    </w:pPr>
  </w:style>
  <w:style w:type="paragraph" w:styleId="Kop8">
    <w:name w:val="heading 8"/>
    <w:basedOn w:val="Standaard"/>
    <w:next w:val="Standaard"/>
    <w:link w:val="Kop8Char"/>
    <w:uiPriority w:val="99"/>
    <w:qFormat/>
    <w:rsid w:val="008F2739"/>
    <w:pPr>
      <w:spacing w:before="240" w:after="60"/>
      <w:outlineLvl w:val="7"/>
    </w:pPr>
    <w:rPr>
      <w:i/>
      <w:iCs/>
    </w:rPr>
  </w:style>
  <w:style w:type="paragraph" w:styleId="Kop9">
    <w:name w:val="heading 9"/>
    <w:basedOn w:val="Standaard"/>
    <w:next w:val="Standaard"/>
    <w:link w:val="Kop9Char"/>
    <w:uiPriority w:val="99"/>
    <w:qFormat/>
    <w:rsid w:val="008F2739"/>
    <w:pPr>
      <w:spacing w:before="240" w:after="60"/>
      <w:outlineLvl w:val="8"/>
    </w:pPr>
    <w:rPr>
      <w:rFonts w:ascii="Cambria" w:eastAsia="Times New Roman"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8F2739"/>
    <w:rPr>
      <w:rFonts w:ascii="Cambria" w:hAnsi="Cambria"/>
      <w:b/>
      <w:kern w:val="32"/>
      <w:sz w:val="32"/>
    </w:rPr>
  </w:style>
  <w:style w:type="character" w:customStyle="1" w:styleId="Kop2Char">
    <w:name w:val="Kop 2 Char"/>
    <w:basedOn w:val="Standaardalinea-lettertype"/>
    <w:link w:val="Kop2"/>
    <w:uiPriority w:val="99"/>
    <w:locked/>
    <w:rsid w:val="008F2739"/>
    <w:rPr>
      <w:rFonts w:ascii="Cambria" w:hAnsi="Cambria"/>
      <w:b/>
      <w:i/>
      <w:sz w:val="28"/>
    </w:rPr>
  </w:style>
  <w:style w:type="character" w:customStyle="1" w:styleId="Kop3Char">
    <w:name w:val="Kop 3 Char"/>
    <w:basedOn w:val="Standaardalinea-lettertype"/>
    <w:link w:val="Kop3"/>
    <w:uiPriority w:val="99"/>
    <w:locked/>
    <w:rsid w:val="008F2739"/>
    <w:rPr>
      <w:rFonts w:ascii="Cambria" w:hAnsi="Cambria"/>
      <w:b/>
      <w:sz w:val="26"/>
    </w:rPr>
  </w:style>
  <w:style w:type="character" w:customStyle="1" w:styleId="Kop4Char">
    <w:name w:val="Kop 4 Char"/>
    <w:basedOn w:val="Standaardalinea-lettertype"/>
    <w:link w:val="Kop4"/>
    <w:uiPriority w:val="99"/>
    <w:locked/>
    <w:rsid w:val="008F2739"/>
    <w:rPr>
      <w:b/>
      <w:sz w:val="28"/>
    </w:rPr>
  </w:style>
  <w:style w:type="character" w:customStyle="1" w:styleId="Kop5Char">
    <w:name w:val="Kop 5 Char"/>
    <w:basedOn w:val="Standaardalinea-lettertype"/>
    <w:link w:val="Kop5"/>
    <w:uiPriority w:val="99"/>
    <w:semiHidden/>
    <w:locked/>
    <w:rsid w:val="008F2739"/>
    <w:rPr>
      <w:b/>
      <w:i/>
      <w:sz w:val="26"/>
    </w:rPr>
  </w:style>
  <w:style w:type="character" w:customStyle="1" w:styleId="Kop6Char">
    <w:name w:val="Kop 6 Char"/>
    <w:basedOn w:val="Standaardalinea-lettertype"/>
    <w:link w:val="Kop6"/>
    <w:uiPriority w:val="99"/>
    <w:semiHidden/>
    <w:locked/>
    <w:rsid w:val="008F2739"/>
    <w:rPr>
      <w:b/>
    </w:rPr>
  </w:style>
  <w:style w:type="character" w:customStyle="1" w:styleId="Kop7Char">
    <w:name w:val="Kop 7 Char"/>
    <w:basedOn w:val="Standaardalinea-lettertype"/>
    <w:link w:val="Kop7"/>
    <w:uiPriority w:val="99"/>
    <w:semiHidden/>
    <w:locked/>
    <w:rsid w:val="008F2739"/>
    <w:rPr>
      <w:sz w:val="24"/>
    </w:rPr>
  </w:style>
  <w:style w:type="character" w:customStyle="1" w:styleId="Kop8Char">
    <w:name w:val="Kop 8 Char"/>
    <w:basedOn w:val="Standaardalinea-lettertype"/>
    <w:link w:val="Kop8"/>
    <w:uiPriority w:val="99"/>
    <w:semiHidden/>
    <w:locked/>
    <w:rsid w:val="008F2739"/>
    <w:rPr>
      <w:i/>
      <w:sz w:val="24"/>
    </w:rPr>
  </w:style>
  <w:style w:type="character" w:customStyle="1" w:styleId="Kop9Char">
    <w:name w:val="Kop 9 Char"/>
    <w:basedOn w:val="Standaardalinea-lettertype"/>
    <w:link w:val="Kop9"/>
    <w:uiPriority w:val="99"/>
    <w:semiHidden/>
    <w:locked/>
    <w:rsid w:val="008F2739"/>
    <w:rPr>
      <w:rFonts w:ascii="Cambria" w:hAnsi="Cambria"/>
    </w:rPr>
  </w:style>
  <w:style w:type="paragraph" w:styleId="Titel">
    <w:name w:val="Title"/>
    <w:basedOn w:val="Standaard"/>
    <w:next w:val="Standaard"/>
    <w:link w:val="TitelChar"/>
    <w:uiPriority w:val="99"/>
    <w:qFormat/>
    <w:rsid w:val="008F2739"/>
    <w:pPr>
      <w:spacing w:before="240" w:after="60"/>
      <w:jc w:val="center"/>
      <w:outlineLvl w:val="0"/>
    </w:pPr>
    <w:rPr>
      <w:rFonts w:ascii="Cambria" w:eastAsia="Times New Roman" w:hAnsi="Cambria"/>
      <w:b/>
      <w:bCs/>
      <w:kern w:val="28"/>
      <w:sz w:val="32"/>
      <w:szCs w:val="32"/>
    </w:rPr>
  </w:style>
  <w:style w:type="character" w:customStyle="1" w:styleId="TitelChar">
    <w:name w:val="Titel Char"/>
    <w:basedOn w:val="Standaardalinea-lettertype"/>
    <w:link w:val="Titel"/>
    <w:uiPriority w:val="99"/>
    <w:locked/>
    <w:rsid w:val="008F2739"/>
    <w:rPr>
      <w:rFonts w:ascii="Cambria" w:hAnsi="Cambria"/>
      <w:b/>
      <w:kern w:val="28"/>
      <w:sz w:val="32"/>
    </w:rPr>
  </w:style>
  <w:style w:type="paragraph" w:styleId="Ondertitel">
    <w:name w:val="Subtitle"/>
    <w:basedOn w:val="Standaard"/>
    <w:next w:val="Standaard"/>
    <w:link w:val="OndertitelChar"/>
    <w:uiPriority w:val="99"/>
    <w:qFormat/>
    <w:rsid w:val="008F2739"/>
    <w:pPr>
      <w:spacing w:after="60"/>
      <w:jc w:val="center"/>
      <w:outlineLvl w:val="1"/>
    </w:pPr>
    <w:rPr>
      <w:rFonts w:ascii="Cambria" w:eastAsia="Times New Roman" w:hAnsi="Cambria"/>
    </w:rPr>
  </w:style>
  <w:style w:type="character" w:customStyle="1" w:styleId="OndertitelChar">
    <w:name w:val="Ondertitel Char"/>
    <w:basedOn w:val="Standaardalinea-lettertype"/>
    <w:link w:val="Ondertitel"/>
    <w:uiPriority w:val="99"/>
    <w:locked/>
    <w:rsid w:val="008F2739"/>
    <w:rPr>
      <w:rFonts w:ascii="Cambria" w:hAnsi="Cambria"/>
      <w:sz w:val="24"/>
    </w:rPr>
  </w:style>
  <w:style w:type="character" w:styleId="Zwaar">
    <w:name w:val="Strong"/>
    <w:basedOn w:val="Standaardalinea-lettertype"/>
    <w:uiPriority w:val="99"/>
    <w:qFormat/>
    <w:rsid w:val="008F2739"/>
    <w:rPr>
      <w:rFonts w:cs="Times New Roman"/>
      <w:b/>
    </w:rPr>
  </w:style>
  <w:style w:type="character" w:styleId="Nadruk">
    <w:name w:val="Emphasis"/>
    <w:basedOn w:val="Standaardalinea-lettertype"/>
    <w:uiPriority w:val="99"/>
    <w:qFormat/>
    <w:rsid w:val="008F2739"/>
    <w:rPr>
      <w:rFonts w:ascii="Calibri" w:hAnsi="Calibri" w:cs="Times New Roman"/>
      <w:b/>
      <w:i/>
    </w:rPr>
  </w:style>
  <w:style w:type="paragraph" w:styleId="Geenafstand">
    <w:name w:val="No Spacing"/>
    <w:basedOn w:val="Standaard"/>
    <w:uiPriority w:val="99"/>
    <w:qFormat/>
    <w:rsid w:val="008F2739"/>
    <w:rPr>
      <w:szCs w:val="32"/>
    </w:rPr>
  </w:style>
  <w:style w:type="paragraph" w:styleId="Lijstalinea">
    <w:name w:val="List Paragraph"/>
    <w:basedOn w:val="Standaard"/>
    <w:uiPriority w:val="99"/>
    <w:qFormat/>
    <w:rsid w:val="008F2739"/>
    <w:pPr>
      <w:ind w:left="720"/>
      <w:contextualSpacing/>
    </w:pPr>
  </w:style>
  <w:style w:type="paragraph" w:styleId="Citaat">
    <w:name w:val="Quote"/>
    <w:basedOn w:val="Standaard"/>
    <w:next w:val="Standaard"/>
    <w:link w:val="CitaatChar"/>
    <w:uiPriority w:val="99"/>
    <w:qFormat/>
    <w:rsid w:val="008F2739"/>
    <w:rPr>
      <w:i/>
    </w:rPr>
  </w:style>
  <w:style w:type="character" w:customStyle="1" w:styleId="CitaatChar">
    <w:name w:val="Citaat Char"/>
    <w:basedOn w:val="Standaardalinea-lettertype"/>
    <w:link w:val="Citaat"/>
    <w:uiPriority w:val="99"/>
    <w:locked/>
    <w:rsid w:val="008F2739"/>
    <w:rPr>
      <w:i/>
      <w:sz w:val="24"/>
    </w:rPr>
  </w:style>
  <w:style w:type="paragraph" w:styleId="Duidelijkcitaat">
    <w:name w:val="Intense Quote"/>
    <w:basedOn w:val="Standaard"/>
    <w:next w:val="Standaard"/>
    <w:link w:val="DuidelijkcitaatChar"/>
    <w:uiPriority w:val="99"/>
    <w:qFormat/>
    <w:rsid w:val="008F2739"/>
    <w:pPr>
      <w:ind w:left="720" w:right="720"/>
    </w:pPr>
    <w:rPr>
      <w:b/>
      <w:i/>
      <w:szCs w:val="22"/>
    </w:rPr>
  </w:style>
  <w:style w:type="character" w:customStyle="1" w:styleId="DuidelijkcitaatChar">
    <w:name w:val="Duidelijk citaat Char"/>
    <w:basedOn w:val="Standaardalinea-lettertype"/>
    <w:link w:val="Duidelijkcitaat"/>
    <w:uiPriority w:val="99"/>
    <w:locked/>
    <w:rsid w:val="008F2739"/>
    <w:rPr>
      <w:b/>
      <w:i/>
      <w:sz w:val="24"/>
    </w:rPr>
  </w:style>
  <w:style w:type="character" w:styleId="Subtielebenadrukking">
    <w:name w:val="Subtle Emphasis"/>
    <w:basedOn w:val="Standaardalinea-lettertype"/>
    <w:uiPriority w:val="99"/>
    <w:qFormat/>
    <w:rsid w:val="008F2739"/>
    <w:rPr>
      <w:i/>
      <w:color w:val="5A5A5A"/>
    </w:rPr>
  </w:style>
  <w:style w:type="character" w:styleId="Intensievebenadrukking">
    <w:name w:val="Intense Emphasis"/>
    <w:basedOn w:val="Standaardalinea-lettertype"/>
    <w:uiPriority w:val="99"/>
    <w:qFormat/>
    <w:rsid w:val="008F2739"/>
    <w:rPr>
      <w:b/>
      <w:i/>
      <w:sz w:val="24"/>
      <w:u w:val="single"/>
    </w:rPr>
  </w:style>
  <w:style w:type="character" w:styleId="Subtieleverwijzing">
    <w:name w:val="Subtle Reference"/>
    <w:basedOn w:val="Standaardalinea-lettertype"/>
    <w:uiPriority w:val="99"/>
    <w:qFormat/>
    <w:rsid w:val="008F2739"/>
    <w:rPr>
      <w:sz w:val="24"/>
      <w:u w:val="single"/>
    </w:rPr>
  </w:style>
  <w:style w:type="character" w:styleId="Intensieveverwijzing">
    <w:name w:val="Intense Reference"/>
    <w:basedOn w:val="Standaardalinea-lettertype"/>
    <w:uiPriority w:val="99"/>
    <w:qFormat/>
    <w:rsid w:val="008F2739"/>
    <w:rPr>
      <w:b/>
      <w:sz w:val="24"/>
      <w:u w:val="single"/>
    </w:rPr>
  </w:style>
  <w:style w:type="character" w:styleId="Titelvanboek">
    <w:name w:val="Book Title"/>
    <w:basedOn w:val="Standaardalinea-lettertype"/>
    <w:uiPriority w:val="99"/>
    <w:qFormat/>
    <w:rsid w:val="008F2739"/>
    <w:rPr>
      <w:rFonts w:ascii="Cambria" w:hAnsi="Cambria"/>
      <w:b/>
      <w:i/>
      <w:sz w:val="24"/>
    </w:rPr>
  </w:style>
  <w:style w:type="paragraph" w:styleId="Kopvaninhoudsopgave">
    <w:name w:val="TOC Heading"/>
    <w:basedOn w:val="Kop1"/>
    <w:next w:val="Standaard"/>
    <w:uiPriority w:val="99"/>
    <w:qFormat/>
    <w:rsid w:val="008F2739"/>
    <w:pPr>
      <w:outlineLvl w:val="9"/>
    </w:pPr>
  </w:style>
  <w:style w:type="paragraph" w:styleId="Ballontekst">
    <w:name w:val="Balloon Text"/>
    <w:basedOn w:val="Standaard"/>
    <w:link w:val="BallontekstChar"/>
    <w:uiPriority w:val="99"/>
    <w:semiHidden/>
    <w:rsid w:val="00AD48AE"/>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AD48AE"/>
    <w:rPr>
      <w:rFonts w:ascii="Tahoma" w:hAnsi="Tahoma"/>
      <w:sz w:val="16"/>
    </w:rPr>
  </w:style>
  <w:style w:type="character" w:styleId="Verwijzingopmerking">
    <w:name w:val="annotation reference"/>
    <w:basedOn w:val="Standaardalinea-lettertype"/>
    <w:uiPriority w:val="99"/>
    <w:semiHidden/>
    <w:rsid w:val="000B4F3A"/>
    <w:rPr>
      <w:rFonts w:cs="Times New Roman"/>
      <w:sz w:val="16"/>
    </w:rPr>
  </w:style>
  <w:style w:type="paragraph" w:styleId="Tekstopmerking">
    <w:name w:val="annotation text"/>
    <w:basedOn w:val="Standaard"/>
    <w:link w:val="TekstopmerkingChar"/>
    <w:uiPriority w:val="99"/>
    <w:semiHidden/>
    <w:rsid w:val="000B4F3A"/>
    <w:rPr>
      <w:sz w:val="20"/>
      <w:szCs w:val="20"/>
    </w:rPr>
  </w:style>
  <w:style w:type="character" w:customStyle="1" w:styleId="TekstopmerkingChar">
    <w:name w:val="Tekst opmerking Char"/>
    <w:basedOn w:val="Standaardalinea-lettertype"/>
    <w:link w:val="Tekstopmerking"/>
    <w:uiPriority w:val="99"/>
    <w:semiHidden/>
    <w:locked/>
    <w:rsid w:val="000B4F3A"/>
    <w:rPr>
      <w:sz w:val="20"/>
    </w:rPr>
  </w:style>
  <w:style w:type="paragraph" w:styleId="Onderwerpvanopmerking">
    <w:name w:val="annotation subject"/>
    <w:basedOn w:val="Tekstopmerking"/>
    <w:next w:val="Tekstopmerking"/>
    <w:link w:val="OnderwerpvanopmerkingChar"/>
    <w:uiPriority w:val="99"/>
    <w:semiHidden/>
    <w:rsid w:val="000B4F3A"/>
    <w:rPr>
      <w:b/>
      <w:bCs/>
    </w:rPr>
  </w:style>
  <w:style w:type="character" w:customStyle="1" w:styleId="OnderwerpvanopmerkingChar">
    <w:name w:val="Onderwerp van opmerking Char"/>
    <w:basedOn w:val="TekstopmerkingChar"/>
    <w:link w:val="Onderwerpvanopmerking"/>
    <w:uiPriority w:val="99"/>
    <w:semiHidden/>
    <w:locked/>
    <w:rsid w:val="000B4F3A"/>
    <w:rPr>
      <w:b/>
      <w:sz w:val="20"/>
    </w:rPr>
  </w:style>
  <w:style w:type="paragraph" w:styleId="Plattetekst">
    <w:name w:val="Body Text"/>
    <w:basedOn w:val="Standaard"/>
    <w:link w:val="PlattetekstChar"/>
    <w:uiPriority w:val="99"/>
    <w:rsid w:val="004826EA"/>
    <w:pPr>
      <w:spacing w:after="120"/>
    </w:pPr>
  </w:style>
  <w:style w:type="character" w:customStyle="1" w:styleId="PlattetekstChar">
    <w:name w:val="Platte tekst Char"/>
    <w:basedOn w:val="Standaardalinea-lettertype"/>
    <w:link w:val="Plattetekst"/>
    <w:uiPriority w:val="99"/>
    <w:locked/>
    <w:rsid w:val="004826EA"/>
    <w:rPr>
      <w:sz w:val="24"/>
    </w:rPr>
  </w:style>
  <w:style w:type="paragraph" w:styleId="Koptekst">
    <w:name w:val="header"/>
    <w:basedOn w:val="Standaard"/>
    <w:link w:val="KoptekstChar"/>
    <w:uiPriority w:val="99"/>
    <w:semiHidden/>
    <w:rsid w:val="00A918AC"/>
    <w:pPr>
      <w:tabs>
        <w:tab w:val="center" w:pos="4513"/>
        <w:tab w:val="right" w:pos="9026"/>
      </w:tabs>
    </w:pPr>
  </w:style>
  <w:style w:type="character" w:customStyle="1" w:styleId="KoptekstChar">
    <w:name w:val="Koptekst Char"/>
    <w:basedOn w:val="Standaardalinea-lettertype"/>
    <w:link w:val="Koptekst"/>
    <w:uiPriority w:val="99"/>
    <w:semiHidden/>
    <w:locked/>
    <w:rsid w:val="00A918AC"/>
    <w:rPr>
      <w:sz w:val="24"/>
    </w:rPr>
  </w:style>
  <w:style w:type="paragraph" w:styleId="Voettekst">
    <w:name w:val="footer"/>
    <w:basedOn w:val="Standaard"/>
    <w:link w:val="VoettekstChar"/>
    <w:uiPriority w:val="99"/>
    <w:rsid w:val="00A918AC"/>
    <w:pPr>
      <w:tabs>
        <w:tab w:val="center" w:pos="4513"/>
        <w:tab w:val="right" w:pos="9026"/>
      </w:tabs>
    </w:pPr>
  </w:style>
  <w:style w:type="character" w:customStyle="1" w:styleId="VoettekstChar">
    <w:name w:val="Voettekst Char"/>
    <w:basedOn w:val="Standaardalinea-lettertype"/>
    <w:link w:val="Voettekst"/>
    <w:uiPriority w:val="99"/>
    <w:locked/>
    <w:rsid w:val="00A918AC"/>
    <w:rPr>
      <w:sz w:val="24"/>
    </w:rPr>
  </w:style>
  <w:style w:type="paragraph" w:styleId="Lijstopsomteken">
    <w:name w:val="List Bullet"/>
    <w:basedOn w:val="Standaard"/>
    <w:uiPriority w:val="99"/>
    <w:rsid w:val="00754864"/>
    <w:pPr>
      <w:numPr>
        <w:numId w:val="12"/>
      </w:numPr>
      <w:tabs>
        <w:tab w:val="num" w:pos="360"/>
      </w:tabs>
      <w:contextualSpacing/>
    </w:pPr>
  </w:style>
  <w:style w:type="character" w:styleId="Hyperlink">
    <w:name w:val="Hyperlink"/>
    <w:basedOn w:val="Standaardalinea-lettertype"/>
    <w:uiPriority w:val="99"/>
    <w:rsid w:val="004B4BE7"/>
    <w:rPr>
      <w:rFonts w:cs="Times New Roman"/>
      <w:color w:val="0000FF"/>
      <w:u w:val="single"/>
    </w:rPr>
  </w:style>
  <w:style w:type="paragraph" w:styleId="Revisie">
    <w:name w:val="Revision"/>
    <w:hidden/>
    <w:uiPriority w:val="99"/>
    <w:semiHidden/>
    <w:rsid w:val="000232DB"/>
    <w:rPr>
      <w:sz w:val="24"/>
      <w:szCs w:val="24"/>
      <w:lang w:val="en-US" w:eastAsia="en-US"/>
    </w:rPr>
  </w:style>
  <w:style w:type="paragraph" w:styleId="Bijschrift">
    <w:name w:val="caption"/>
    <w:basedOn w:val="Standaard"/>
    <w:next w:val="Standaard"/>
    <w:uiPriority w:val="99"/>
    <w:qFormat/>
    <w:rsid w:val="00BA71A1"/>
    <w:pPr>
      <w:spacing w:after="200"/>
    </w:pPr>
    <w:rPr>
      <w:b/>
      <w:bCs/>
      <w:color w:val="4F81BD"/>
      <w:szCs w:val="18"/>
    </w:rPr>
  </w:style>
  <w:style w:type="character" w:styleId="GevolgdeHyperlink">
    <w:name w:val="FollowedHyperlink"/>
    <w:basedOn w:val="Standaardalinea-lettertype"/>
    <w:uiPriority w:val="99"/>
    <w:semiHidden/>
    <w:rsid w:val="007817CA"/>
    <w:rPr>
      <w:rFonts w:cs="Times New Roman"/>
      <w:color w:val="800080"/>
      <w:u w:val="single"/>
    </w:rPr>
  </w:style>
  <w:style w:type="paragraph" w:customStyle="1" w:styleId="xl63">
    <w:name w:val="xl63"/>
    <w:basedOn w:val="Standaard"/>
    <w:uiPriority w:val="99"/>
    <w:rsid w:val="007817CA"/>
    <w:pPr>
      <w:spacing w:before="100" w:beforeAutospacing="1" w:after="100" w:afterAutospacing="1"/>
    </w:pPr>
    <w:rPr>
      <w:rFonts w:ascii="Times New Roman" w:eastAsia="Times New Roman" w:hAnsi="Times New Roman"/>
      <w:sz w:val="16"/>
      <w:szCs w:val="16"/>
      <w:lang w:val="en-GB" w:eastAsia="en-GB"/>
    </w:rPr>
  </w:style>
  <w:style w:type="paragraph" w:customStyle="1" w:styleId="xl64">
    <w:name w:val="xl64"/>
    <w:basedOn w:val="Standaard"/>
    <w:uiPriority w:val="99"/>
    <w:rsid w:val="007817CA"/>
    <w:pPr>
      <w:shd w:val="clear" w:color="000000" w:fill="FFFFFF"/>
      <w:spacing w:before="100" w:beforeAutospacing="1" w:after="100" w:afterAutospacing="1"/>
    </w:pPr>
    <w:rPr>
      <w:rFonts w:ascii="Times New Roman" w:eastAsia="Times New Roman" w:hAnsi="Times New Roman"/>
      <w:sz w:val="16"/>
      <w:szCs w:val="16"/>
      <w:lang w:val="en-GB" w:eastAsia="en-GB"/>
    </w:rPr>
  </w:style>
  <w:style w:type="paragraph" w:customStyle="1" w:styleId="xl65">
    <w:name w:val="xl65"/>
    <w:basedOn w:val="Standaard"/>
    <w:uiPriority w:val="99"/>
    <w:rsid w:val="007817CA"/>
    <w:pPr>
      <w:shd w:val="clear" w:color="000000" w:fill="FFFFFF"/>
      <w:spacing w:before="100" w:beforeAutospacing="1" w:after="100" w:afterAutospacing="1"/>
    </w:pPr>
    <w:rPr>
      <w:rFonts w:ascii="Times New Roman" w:eastAsia="Times New Roman" w:hAnsi="Times New Roman"/>
      <w:b/>
      <w:bCs/>
      <w:i/>
      <w:iCs/>
      <w:sz w:val="16"/>
      <w:szCs w:val="16"/>
      <w:lang w:val="en-GB" w:eastAsia="en-GB"/>
    </w:rPr>
  </w:style>
  <w:style w:type="character" w:customStyle="1" w:styleId="inplacedisplayid1siteid1195">
    <w:name w:val="inplacedisplayid1siteid1195"/>
    <w:basedOn w:val="Standaardalinea-lettertype"/>
    <w:uiPriority w:val="99"/>
    <w:rsid w:val="00B67AB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8F2739"/>
    <w:rPr>
      <w:sz w:val="24"/>
      <w:szCs w:val="24"/>
      <w:lang w:val="en-US" w:eastAsia="en-US"/>
    </w:rPr>
  </w:style>
  <w:style w:type="paragraph" w:styleId="Kop1">
    <w:name w:val="heading 1"/>
    <w:basedOn w:val="Standaard"/>
    <w:next w:val="Standaard"/>
    <w:link w:val="Kop1Char"/>
    <w:uiPriority w:val="99"/>
    <w:qFormat/>
    <w:rsid w:val="008F2739"/>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9"/>
    <w:qFormat/>
    <w:rsid w:val="008F2739"/>
    <w:pPr>
      <w:keepNext/>
      <w:spacing w:before="240" w:after="60"/>
      <w:outlineLvl w:val="1"/>
    </w:pPr>
    <w:rPr>
      <w:rFonts w:ascii="Cambria" w:eastAsia="Times New Roman" w:hAnsi="Cambria"/>
      <w:b/>
      <w:bCs/>
      <w:i/>
      <w:iCs/>
      <w:sz w:val="28"/>
      <w:szCs w:val="28"/>
    </w:rPr>
  </w:style>
  <w:style w:type="paragraph" w:styleId="Kop3">
    <w:name w:val="heading 3"/>
    <w:basedOn w:val="Standaard"/>
    <w:next w:val="Standaard"/>
    <w:link w:val="Kop3Char"/>
    <w:uiPriority w:val="99"/>
    <w:qFormat/>
    <w:rsid w:val="008F2739"/>
    <w:pPr>
      <w:keepNext/>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uiPriority w:val="99"/>
    <w:qFormat/>
    <w:rsid w:val="008F2739"/>
    <w:pPr>
      <w:keepNext/>
      <w:spacing w:before="240" w:after="60"/>
      <w:outlineLvl w:val="3"/>
    </w:pPr>
    <w:rPr>
      <w:b/>
      <w:bCs/>
      <w:sz w:val="28"/>
      <w:szCs w:val="28"/>
    </w:rPr>
  </w:style>
  <w:style w:type="paragraph" w:styleId="Kop5">
    <w:name w:val="heading 5"/>
    <w:basedOn w:val="Standaard"/>
    <w:next w:val="Standaard"/>
    <w:link w:val="Kop5Char"/>
    <w:uiPriority w:val="99"/>
    <w:qFormat/>
    <w:rsid w:val="008F2739"/>
    <w:pPr>
      <w:spacing w:before="240" w:after="60"/>
      <w:outlineLvl w:val="4"/>
    </w:pPr>
    <w:rPr>
      <w:b/>
      <w:bCs/>
      <w:i/>
      <w:iCs/>
      <w:sz w:val="26"/>
      <w:szCs w:val="26"/>
    </w:rPr>
  </w:style>
  <w:style w:type="paragraph" w:styleId="Kop6">
    <w:name w:val="heading 6"/>
    <w:basedOn w:val="Standaard"/>
    <w:next w:val="Standaard"/>
    <w:link w:val="Kop6Char"/>
    <w:uiPriority w:val="99"/>
    <w:qFormat/>
    <w:rsid w:val="008F2739"/>
    <w:pPr>
      <w:spacing w:before="240" w:after="60"/>
      <w:outlineLvl w:val="5"/>
    </w:pPr>
    <w:rPr>
      <w:b/>
      <w:bCs/>
      <w:sz w:val="22"/>
      <w:szCs w:val="22"/>
    </w:rPr>
  </w:style>
  <w:style w:type="paragraph" w:styleId="Kop7">
    <w:name w:val="heading 7"/>
    <w:basedOn w:val="Standaard"/>
    <w:next w:val="Standaard"/>
    <w:link w:val="Kop7Char"/>
    <w:uiPriority w:val="99"/>
    <w:qFormat/>
    <w:rsid w:val="008F2739"/>
    <w:pPr>
      <w:spacing w:before="240" w:after="60"/>
      <w:outlineLvl w:val="6"/>
    </w:pPr>
  </w:style>
  <w:style w:type="paragraph" w:styleId="Kop8">
    <w:name w:val="heading 8"/>
    <w:basedOn w:val="Standaard"/>
    <w:next w:val="Standaard"/>
    <w:link w:val="Kop8Char"/>
    <w:uiPriority w:val="99"/>
    <w:qFormat/>
    <w:rsid w:val="008F2739"/>
    <w:pPr>
      <w:spacing w:before="240" w:after="60"/>
      <w:outlineLvl w:val="7"/>
    </w:pPr>
    <w:rPr>
      <w:i/>
      <w:iCs/>
    </w:rPr>
  </w:style>
  <w:style w:type="paragraph" w:styleId="Kop9">
    <w:name w:val="heading 9"/>
    <w:basedOn w:val="Standaard"/>
    <w:next w:val="Standaard"/>
    <w:link w:val="Kop9Char"/>
    <w:uiPriority w:val="99"/>
    <w:qFormat/>
    <w:rsid w:val="008F2739"/>
    <w:pPr>
      <w:spacing w:before="240" w:after="60"/>
      <w:outlineLvl w:val="8"/>
    </w:pPr>
    <w:rPr>
      <w:rFonts w:ascii="Cambria" w:eastAsia="Times New Roman"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8F2739"/>
    <w:rPr>
      <w:rFonts w:ascii="Cambria" w:hAnsi="Cambria"/>
      <w:b/>
      <w:kern w:val="32"/>
      <w:sz w:val="32"/>
    </w:rPr>
  </w:style>
  <w:style w:type="character" w:customStyle="1" w:styleId="Kop2Char">
    <w:name w:val="Kop 2 Char"/>
    <w:basedOn w:val="Standaardalinea-lettertype"/>
    <w:link w:val="Kop2"/>
    <w:uiPriority w:val="99"/>
    <w:locked/>
    <w:rsid w:val="008F2739"/>
    <w:rPr>
      <w:rFonts w:ascii="Cambria" w:hAnsi="Cambria"/>
      <w:b/>
      <w:i/>
      <w:sz w:val="28"/>
    </w:rPr>
  </w:style>
  <w:style w:type="character" w:customStyle="1" w:styleId="Kop3Char">
    <w:name w:val="Kop 3 Char"/>
    <w:basedOn w:val="Standaardalinea-lettertype"/>
    <w:link w:val="Kop3"/>
    <w:uiPriority w:val="99"/>
    <w:locked/>
    <w:rsid w:val="008F2739"/>
    <w:rPr>
      <w:rFonts w:ascii="Cambria" w:hAnsi="Cambria"/>
      <w:b/>
      <w:sz w:val="26"/>
    </w:rPr>
  </w:style>
  <w:style w:type="character" w:customStyle="1" w:styleId="Kop4Char">
    <w:name w:val="Kop 4 Char"/>
    <w:basedOn w:val="Standaardalinea-lettertype"/>
    <w:link w:val="Kop4"/>
    <w:uiPriority w:val="99"/>
    <w:locked/>
    <w:rsid w:val="008F2739"/>
    <w:rPr>
      <w:b/>
      <w:sz w:val="28"/>
    </w:rPr>
  </w:style>
  <w:style w:type="character" w:customStyle="1" w:styleId="Kop5Char">
    <w:name w:val="Kop 5 Char"/>
    <w:basedOn w:val="Standaardalinea-lettertype"/>
    <w:link w:val="Kop5"/>
    <w:uiPriority w:val="99"/>
    <w:semiHidden/>
    <w:locked/>
    <w:rsid w:val="008F2739"/>
    <w:rPr>
      <w:b/>
      <w:i/>
      <w:sz w:val="26"/>
    </w:rPr>
  </w:style>
  <w:style w:type="character" w:customStyle="1" w:styleId="Kop6Char">
    <w:name w:val="Kop 6 Char"/>
    <w:basedOn w:val="Standaardalinea-lettertype"/>
    <w:link w:val="Kop6"/>
    <w:uiPriority w:val="99"/>
    <w:semiHidden/>
    <w:locked/>
    <w:rsid w:val="008F2739"/>
    <w:rPr>
      <w:b/>
    </w:rPr>
  </w:style>
  <w:style w:type="character" w:customStyle="1" w:styleId="Kop7Char">
    <w:name w:val="Kop 7 Char"/>
    <w:basedOn w:val="Standaardalinea-lettertype"/>
    <w:link w:val="Kop7"/>
    <w:uiPriority w:val="99"/>
    <w:semiHidden/>
    <w:locked/>
    <w:rsid w:val="008F2739"/>
    <w:rPr>
      <w:sz w:val="24"/>
    </w:rPr>
  </w:style>
  <w:style w:type="character" w:customStyle="1" w:styleId="Kop8Char">
    <w:name w:val="Kop 8 Char"/>
    <w:basedOn w:val="Standaardalinea-lettertype"/>
    <w:link w:val="Kop8"/>
    <w:uiPriority w:val="99"/>
    <w:semiHidden/>
    <w:locked/>
    <w:rsid w:val="008F2739"/>
    <w:rPr>
      <w:i/>
      <w:sz w:val="24"/>
    </w:rPr>
  </w:style>
  <w:style w:type="character" w:customStyle="1" w:styleId="Kop9Char">
    <w:name w:val="Kop 9 Char"/>
    <w:basedOn w:val="Standaardalinea-lettertype"/>
    <w:link w:val="Kop9"/>
    <w:uiPriority w:val="99"/>
    <w:semiHidden/>
    <w:locked/>
    <w:rsid w:val="008F2739"/>
    <w:rPr>
      <w:rFonts w:ascii="Cambria" w:hAnsi="Cambria"/>
    </w:rPr>
  </w:style>
  <w:style w:type="paragraph" w:styleId="Titel">
    <w:name w:val="Title"/>
    <w:basedOn w:val="Standaard"/>
    <w:next w:val="Standaard"/>
    <w:link w:val="TitelChar"/>
    <w:uiPriority w:val="99"/>
    <w:qFormat/>
    <w:rsid w:val="008F2739"/>
    <w:pPr>
      <w:spacing w:before="240" w:after="60"/>
      <w:jc w:val="center"/>
      <w:outlineLvl w:val="0"/>
    </w:pPr>
    <w:rPr>
      <w:rFonts w:ascii="Cambria" w:eastAsia="Times New Roman" w:hAnsi="Cambria"/>
      <w:b/>
      <w:bCs/>
      <w:kern w:val="28"/>
      <w:sz w:val="32"/>
      <w:szCs w:val="32"/>
    </w:rPr>
  </w:style>
  <w:style w:type="character" w:customStyle="1" w:styleId="TitelChar">
    <w:name w:val="Titel Char"/>
    <w:basedOn w:val="Standaardalinea-lettertype"/>
    <w:link w:val="Titel"/>
    <w:uiPriority w:val="99"/>
    <w:locked/>
    <w:rsid w:val="008F2739"/>
    <w:rPr>
      <w:rFonts w:ascii="Cambria" w:hAnsi="Cambria"/>
      <w:b/>
      <w:kern w:val="28"/>
      <w:sz w:val="32"/>
    </w:rPr>
  </w:style>
  <w:style w:type="paragraph" w:styleId="Ondertitel">
    <w:name w:val="Subtitle"/>
    <w:basedOn w:val="Standaard"/>
    <w:next w:val="Standaard"/>
    <w:link w:val="OndertitelChar"/>
    <w:uiPriority w:val="99"/>
    <w:qFormat/>
    <w:rsid w:val="008F2739"/>
    <w:pPr>
      <w:spacing w:after="60"/>
      <w:jc w:val="center"/>
      <w:outlineLvl w:val="1"/>
    </w:pPr>
    <w:rPr>
      <w:rFonts w:ascii="Cambria" w:eastAsia="Times New Roman" w:hAnsi="Cambria"/>
    </w:rPr>
  </w:style>
  <w:style w:type="character" w:customStyle="1" w:styleId="OndertitelChar">
    <w:name w:val="Ondertitel Char"/>
    <w:basedOn w:val="Standaardalinea-lettertype"/>
    <w:link w:val="Ondertitel"/>
    <w:uiPriority w:val="99"/>
    <w:locked/>
    <w:rsid w:val="008F2739"/>
    <w:rPr>
      <w:rFonts w:ascii="Cambria" w:hAnsi="Cambria"/>
      <w:sz w:val="24"/>
    </w:rPr>
  </w:style>
  <w:style w:type="character" w:styleId="Zwaar">
    <w:name w:val="Strong"/>
    <w:basedOn w:val="Standaardalinea-lettertype"/>
    <w:uiPriority w:val="99"/>
    <w:qFormat/>
    <w:rsid w:val="008F2739"/>
    <w:rPr>
      <w:rFonts w:cs="Times New Roman"/>
      <w:b/>
    </w:rPr>
  </w:style>
  <w:style w:type="character" w:styleId="Nadruk">
    <w:name w:val="Emphasis"/>
    <w:basedOn w:val="Standaardalinea-lettertype"/>
    <w:uiPriority w:val="99"/>
    <w:qFormat/>
    <w:rsid w:val="008F2739"/>
    <w:rPr>
      <w:rFonts w:ascii="Calibri" w:hAnsi="Calibri" w:cs="Times New Roman"/>
      <w:b/>
      <w:i/>
    </w:rPr>
  </w:style>
  <w:style w:type="paragraph" w:styleId="Geenafstand">
    <w:name w:val="No Spacing"/>
    <w:basedOn w:val="Standaard"/>
    <w:uiPriority w:val="99"/>
    <w:qFormat/>
    <w:rsid w:val="008F2739"/>
    <w:rPr>
      <w:szCs w:val="32"/>
    </w:rPr>
  </w:style>
  <w:style w:type="paragraph" w:styleId="Lijstalinea">
    <w:name w:val="List Paragraph"/>
    <w:basedOn w:val="Standaard"/>
    <w:uiPriority w:val="99"/>
    <w:qFormat/>
    <w:rsid w:val="008F2739"/>
    <w:pPr>
      <w:ind w:left="720"/>
      <w:contextualSpacing/>
    </w:pPr>
  </w:style>
  <w:style w:type="paragraph" w:styleId="Citaat">
    <w:name w:val="Quote"/>
    <w:basedOn w:val="Standaard"/>
    <w:next w:val="Standaard"/>
    <w:link w:val="CitaatChar"/>
    <w:uiPriority w:val="99"/>
    <w:qFormat/>
    <w:rsid w:val="008F2739"/>
    <w:rPr>
      <w:i/>
    </w:rPr>
  </w:style>
  <w:style w:type="character" w:customStyle="1" w:styleId="CitaatChar">
    <w:name w:val="Citaat Char"/>
    <w:basedOn w:val="Standaardalinea-lettertype"/>
    <w:link w:val="Citaat"/>
    <w:uiPriority w:val="99"/>
    <w:locked/>
    <w:rsid w:val="008F2739"/>
    <w:rPr>
      <w:i/>
      <w:sz w:val="24"/>
    </w:rPr>
  </w:style>
  <w:style w:type="paragraph" w:styleId="Duidelijkcitaat">
    <w:name w:val="Intense Quote"/>
    <w:basedOn w:val="Standaard"/>
    <w:next w:val="Standaard"/>
    <w:link w:val="DuidelijkcitaatChar"/>
    <w:uiPriority w:val="99"/>
    <w:qFormat/>
    <w:rsid w:val="008F2739"/>
    <w:pPr>
      <w:ind w:left="720" w:right="720"/>
    </w:pPr>
    <w:rPr>
      <w:b/>
      <w:i/>
      <w:szCs w:val="22"/>
    </w:rPr>
  </w:style>
  <w:style w:type="character" w:customStyle="1" w:styleId="DuidelijkcitaatChar">
    <w:name w:val="Duidelijk citaat Char"/>
    <w:basedOn w:val="Standaardalinea-lettertype"/>
    <w:link w:val="Duidelijkcitaat"/>
    <w:uiPriority w:val="99"/>
    <w:locked/>
    <w:rsid w:val="008F2739"/>
    <w:rPr>
      <w:b/>
      <w:i/>
      <w:sz w:val="24"/>
    </w:rPr>
  </w:style>
  <w:style w:type="character" w:styleId="Subtielebenadrukking">
    <w:name w:val="Subtle Emphasis"/>
    <w:basedOn w:val="Standaardalinea-lettertype"/>
    <w:uiPriority w:val="99"/>
    <w:qFormat/>
    <w:rsid w:val="008F2739"/>
    <w:rPr>
      <w:i/>
      <w:color w:val="5A5A5A"/>
    </w:rPr>
  </w:style>
  <w:style w:type="character" w:styleId="Intensievebenadrukking">
    <w:name w:val="Intense Emphasis"/>
    <w:basedOn w:val="Standaardalinea-lettertype"/>
    <w:uiPriority w:val="99"/>
    <w:qFormat/>
    <w:rsid w:val="008F2739"/>
    <w:rPr>
      <w:b/>
      <w:i/>
      <w:sz w:val="24"/>
      <w:u w:val="single"/>
    </w:rPr>
  </w:style>
  <w:style w:type="character" w:styleId="Subtieleverwijzing">
    <w:name w:val="Subtle Reference"/>
    <w:basedOn w:val="Standaardalinea-lettertype"/>
    <w:uiPriority w:val="99"/>
    <w:qFormat/>
    <w:rsid w:val="008F2739"/>
    <w:rPr>
      <w:sz w:val="24"/>
      <w:u w:val="single"/>
    </w:rPr>
  </w:style>
  <w:style w:type="character" w:styleId="Intensieveverwijzing">
    <w:name w:val="Intense Reference"/>
    <w:basedOn w:val="Standaardalinea-lettertype"/>
    <w:uiPriority w:val="99"/>
    <w:qFormat/>
    <w:rsid w:val="008F2739"/>
    <w:rPr>
      <w:b/>
      <w:sz w:val="24"/>
      <w:u w:val="single"/>
    </w:rPr>
  </w:style>
  <w:style w:type="character" w:styleId="Titelvanboek">
    <w:name w:val="Book Title"/>
    <w:basedOn w:val="Standaardalinea-lettertype"/>
    <w:uiPriority w:val="99"/>
    <w:qFormat/>
    <w:rsid w:val="008F2739"/>
    <w:rPr>
      <w:rFonts w:ascii="Cambria" w:hAnsi="Cambria"/>
      <w:b/>
      <w:i/>
      <w:sz w:val="24"/>
    </w:rPr>
  </w:style>
  <w:style w:type="paragraph" w:styleId="Kopvaninhoudsopgave">
    <w:name w:val="TOC Heading"/>
    <w:basedOn w:val="Kop1"/>
    <w:next w:val="Standaard"/>
    <w:uiPriority w:val="99"/>
    <w:qFormat/>
    <w:rsid w:val="008F2739"/>
    <w:pPr>
      <w:outlineLvl w:val="9"/>
    </w:pPr>
  </w:style>
  <w:style w:type="paragraph" w:styleId="Ballontekst">
    <w:name w:val="Balloon Text"/>
    <w:basedOn w:val="Standaard"/>
    <w:link w:val="BallontekstChar"/>
    <w:uiPriority w:val="99"/>
    <w:semiHidden/>
    <w:rsid w:val="00AD48AE"/>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AD48AE"/>
    <w:rPr>
      <w:rFonts w:ascii="Tahoma" w:hAnsi="Tahoma"/>
      <w:sz w:val="16"/>
    </w:rPr>
  </w:style>
  <w:style w:type="character" w:styleId="Verwijzingopmerking">
    <w:name w:val="annotation reference"/>
    <w:basedOn w:val="Standaardalinea-lettertype"/>
    <w:uiPriority w:val="99"/>
    <w:semiHidden/>
    <w:rsid w:val="000B4F3A"/>
    <w:rPr>
      <w:rFonts w:cs="Times New Roman"/>
      <w:sz w:val="16"/>
    </w:rPr>
  </w:style>
  <w:style w:type="paragraph" w:styleId="Tekstopmerking">
    <w:name w:val="annotation text"/>
    <w:basedOn w:val="Standaard"/>
    <w:link w:val="TekstopmerkingChar"/>
    <w:uiPriority w:val="99"/>
    <w:semiHidden/>
    <w:rsid w:val="000B4F3A"/>
    <w:rPr>
      <w:sz w:val="20"/>
      <w:szCs w:val="20"/>
    </w:rPr>
  </w:style>
  <w:style w:type="character" w:customStyle="1" w:styleId="TekstopmerkingChar">
    <w:name w:val="Tekst opmerking Char"/>
    <w:basedOn w:val="Standaardalinea-lettertype"/>
    <w:link w:val="Tekstopmerking"/>
    <w:uiPriority w:val="99"/>
    <w:semiHidden/>
    <w:locked/>
    <w:rsid w:val="000B4F3A"/>
    <w:rPr>
      <w:sz w:val="20"/>
    </w:rPr>
  </w:style>
  <w:style w:type="paragraph" w:styleId="Onderwerpvanopmerking">
    <w:name w:val="annotation subject"/>
    <w:basedOn w:val="Tekstopmerking"/>
    <w:next w:val="Tekstopmerking"/>
    <w:link w:val="OnderwerpvanopmerkingChar"/>
    <w:uiPriority w:val="99"/>
    <w:semiHidden/>
    <w:rsid w:val="000B4F3A"/>
    <w:rPr>
      <w:b/>
      <w:bCs/>
    </w:rPr>
  </w:style>
  <w:style w:type="character" w:customStyle="1" w:styleId="OnderwerpvanopmerkingChar">
    <w:name w:val="Onderwerp van opmerking Char"/>
    <w:basedOn w:val="TekstopmerkingChar"/>
    <w:link w:val="Onderwerpvanopmerking"/>
    <w:uiPriority w:val="99"/>
    <w:semiHidden/>
    <w:locked/>
    <w:rsid w:val="000B4F3A"/>
    <w:rPr>
      <w:b/>
      <w:sz w:val="20"/>
    </w:rPr>
  </w:style>
  <w:style w:type="paragraph" w:styleId="Plattetekst">
    <w:name w:val="Body Text"/>
    <w:basedOn w:val="Standaard"/>
    <w:link w:val="PlattetekstChar"/>
    <w:uiPriority w:val="99"/>
    <w:rsid w:val="004826EA"/>
    <w:pPr>
      <w:spacing w:after="120"/>
    </w:pPr>
  </w:style>
  <w:style w:type="character" w:customStyle="1" w:styleId="PlattetekstChar">
    <w:name w:val="Platte tekst Char"/>
    <w:basedOn w:val="Standaardalinea-lettertype"/>
    <w:link w:val="Plattetekst"/>
    <w:uiPriority w:val="99"/>
    <w:locked/>
    <w:rsid w:val="004826EA"/>
    <w:rPr>
      <w:sz w:val="24"/>
    </w:rPr>
  </w:style>
  <w:style w:type="paragraph" w:styleId="Koptekst">
    <w:name w:val="header"/>
    <w:basedOn w:val="Standaard"/>
    <w:link w:val="KoptekstChar"/>
    <w:uiPriority w:val="99"/>
    <w:semiHidden/>
    <w:rsid w:val="00A918AC"/>
    <w:pPr>
      <w:tabs>
        <w:tab w:val="center" w:pos="4513"/>
        <w:tab w:val="right" w:pos="9026"/>
      </w:tabs>
    </w:pPr>
  </w:style>
  <w:style w:type="character" w:customStyle="1" w:styleId="KoptekstChar">
    <w:name w:val="Koptekst Char"/>
    <w:basedOn w:val="Standaardalinea-lettertype"/>
    <w:link w:val="Koptekst"/>
    <w:uiPriority w:val="99"/>
    <w:semiHidden/>
    <w:locked/>
    <w:rsid w:val="00A918AC"/>
    <w:rPr>
      <w:sz w:val="24"/>
    </w:rPr>
  </w:style>
  <w:style w:type="paragraph" w:styleId="Voettekst">
    <w:name w:val="footer"/>
    <w:basedOn w:val="Standaard"/>
    <w:link w:val="VoettekstChar"/>
    <w:uiPriority w:val="99"/>
    <w:rsid w:val="00A918AC"/>
    <w:pPr>
      <w:tabs>
        <w:tab w:val="center" w:pos="4513"/>
        <w:tab w:val="right" w:pos="9026"/>
      </w:tabs>
    </w:pPr>
  </w:style>
  <w:style w:type="character" w:customStyle="1" w:styleId="VoettekstChar">
    <w:name w:val="Voettekst Char"/>
    <w:basedOn w:val="Standaardalinea-lettertype"/>
    <w:link w:val="Voettekst"/>
    <w:uiPriority w:val="99"/>
    <w:locked/>
    <w:rsid w:val="00A918AC"/>
    <w:rPr>
      <w:sz w:val="24"/>
    </w:rPr>
  </w:style>
  <w:style w:type="paragraph" w:styleId="Lijstopsomteken">
    <w:name w:val="List Bullet"/>
    <w:basedOn w:val="Standaard"/>
    <w:uiPriority w:val="99"/>
    <w:rsid w:val="00754864"/>
    <w:pPr>
      <w:numPr>
        <w:numId w:val="12"/>
      </w:numPr>
      <w:tabs>
        <w:tab w:val="num" w:pos="360"/>
      </w:tabs>
      <w:contextualSpacing/>
    </w:pPr>
  </w:style>
  <w:style w:type="character" w:styleId="Hyperlink">
    <w:name w:val="Hyperlink"/>
    <w:basedOn w:val="Standaardalinea-lettertype"/>
    <w:uiPriority w:val="99"/>
    <w:rsid w:val="004B4BE7"/>
    <w:rPr>
      <w:rFonts w:cs="Times New Roman"/>
      <w:color w:val="0000FF"/>
      <w:u w:val="single"/>
    </w:rPr>
  </w:style>
  <w:style w:type="paragraph" w:styleId="Revisie">
    <w:name w:val="Revision"/>
    <w:hidden/>
    <w:uiPriority w:val="99"/>
    <w:semiHidden/>
    <w:rsid w:val="000232DB"/>
    <w:rPr>
      <w:sz w:val="24"/>
      <w:szCs w:val="24"/>
      <w:lang w:val="en-US" w:eastAsia="en-US"/>
    </w:rPr>
  </w:style>
  <w:style w:type="paragraph" w:styleId="Bijschrift">
    <w:name w:val="caption"/>
    <w:basedOn w:val="Standaard"/>
    <w:next w:val="Standaard"/>
    <w:uiPriority w:val="99"/>
    <w:qFormat/>
    <w:rsid w:val="00BA71A1"/>
    <w:pPr>
      <w:spacing w:after="200"/>
    </w:pPr>
    <w:rPr>
      <w:b/>
      <w:bCs/>
      <w:color w:val="4F81BD"/>
      <w:szCs w:val="18"/>
    </w:rPr>
  </w:style>
  <w:style w:type="character" w:styleId="GevolgdeHyperlink">
    <w:name w:val="FollowedHyperlink"/>
    <w:basedOn w:val="Standaardalinea-lettertype"/>
    <w:uiPriority w:val="99"/>
    <w:semiHidden/>
    <w:rsid w:val="007817CA"/>
    <w:rPr>
      <w:rFonts w:cs="Times New Roman"/>
      <w:color w:val="800080"/>
      <w:u w:val="single"/>
    </w:rPr>
  </w:style>
  <w:style w:type="paragraph" w:customStyle="1" w:styleId="xl63">
    <w:name w:val="xl63"/>
    <w:basedOn w:val="Standaard"/>
    <w:uiPriority w:val="99"/>
    <w:rsid w:val="007817CA"/>
    <w:pPr>
      <w:spacing w:before="100" w:beforeAutospacing="1" w:after="100" w:afterAutospacing="1"/>
    </w:pPr>
    <w:rPr>
      <w:rFonts w:ascii="Times New Roman" w:eastAsia="Times New Roman" w:hAnsi="Times New Roman"/>
      <w:sz w:val="16"/>
      <w:szCs w:val="16"/>
      <w:lang w:val="en-GB" w:eastAsia="en-GB"/>
    </w:rPr>
  </w:style>
  <w:style w:type="paragraph" w:customStyle="1" w:styleId="xl64">
    <w:name w:val="xl64"/>
    <w:basedOn w:val="Standaard"/>
    <w:uiPriority w:val="99"/>
    <w:rsid w:val="007817CA"/>
    <w:pPr>
      <w:shd w:val="clear" w:color="000000" w:fill="FFFFFF"/>
      <w:spacing w:before="100" w:beforeAutospacing="1" w:after="100" w:afterAutospacing="1"/>
    </w:pPr>
    <w:rPr>
      <w:rFonts w:ascii="Times New Roman" w:eastAsia="Times New Roman" w:hAnsi="Times New Roman"/>
      <w:sz w:val="16"/>
      <w:szCs w:val="16"/>
      <w:lang w:val="en-GB" w:eastAsia="en-GB"/>
    </w:rPr>
  </w:style>
  <w:style w:type="paragraph" w:customStyle="1" w:styleId="xl65">
    <w:name w:val="xl65"/>
    <w:basedOn w:val="Standaard"/>
    <w:uiPriority w:val="99"/>
    <w:rsid w:val="007817CA"/>
    <w:pPr>
      <w:shd w:val="clear" w:color="000000" w:fill="FFFFFF"/>
      <w:spacing w:before="100" w:beforeAutospacing="1" w:after="100" w:afterAutospacing="1"/>
    </w:pPr>
    <w:rPr>
      <w:rFonts w:ascii="Times New Roman" w:eastAsia="Times New Roman" w:hAnsi="Times New Roman"/>
      <w:b/>
      <w:bCs/>
      <w:i/>
      <w:iCs/>
      <w:sz w:val="16"/>
      <w:szCs w:val="16"/>
      <w:lang w:val="en-GB" w:eastAsia="en-GB"/>
    </w:rPr>
  </w:style>
  <w:style w:type="character" w:customStyle="1" w:styleId="inplacedisplayid1siteid1195">
    <w:name w:val="inplacedisplayid1siteid1195"/>
    <w:basedOn w:val="Standaardalinea-lettertype"/>
    <w:uiPriority w:val="99"/>
    <w:rsid w:val="00B67A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311289">
      <w:marLeft w:val="0"/>
      <w:marRight w:val="0"/>
      <w:marTop w:val="0"/>
      <w:marBottom w:val="0"/>
      <w:divBdr>
        <w:top w:val="none" w:sz="0" w:space="0" w:color="auto"/>
        <w:left w:val="none" w:sz="0" w:space="0" w:color="auto"/>
        <w:bottom w:val="none" w:sz="0" w:space="0" w:color="auto"/>
        <w:right w:val="none" w:sz="0" w:space="0" w:color="auto"/>
      </w:divBdr>
    </w:div>
    <w:div w:id="1949311290">
      <w:marLeft w:val="0"/>
      <w:marRight w:val="0"/>
      <w:marTop w:val="0"/>
      <w:marBottom w:val="0"/>
      <w:divBdr>
        <w:top w:val="none" w:sz="0" w:space="0" w:color="auto"/>
        <w:left w:val="none" w:sz="0" w:space="0" w:color="auto"/>
        <w:bottom w:val="none" w:sz="0" w:space="0" w:color="auto"/>
        <w:right w:val="none" w:sz="0" w:space="0" w:color="auto"/>
      </w:divBdr>
    </w:div>
    <w:div w:id="1949311291">
      <w:marLeft w:val="0"/>
      <w:marRight w:val="0"/>
      <w:marTop w:val="0"/>
      <w:marBottom w:val="0"/>
      <w:divBdr>
        <w:top w:val="none" w:sz="0" w:space="0" w:color="auto"/>
        <w:left w:val="none" w:sz="0" w:space="0" w:color="auto"/>
        <w:bottom w:val="none" w:sz="0" w:space="0" w:color="auto"/>
        <w:right w:val="none" w:sz="0" w:space="0" w:color="auto"/>
      </w:divBdr>
    </w:div>
    <w:div w:id="1949311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oke-freeca/pdf_1/snus-comparative-experiencespdf" TargetMode="External"/><Relationship Id="rId13" Type="http://schemas.openxmlformats.org/officeDocument/2006/relationships/footer" Target="footer1.xml"/><Relationship Id="rId18" Type="http://schemas.openxmlformats.org/officeDocument/2006/relationships/chart" Target="charts/chart7.xml"/><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dx.doi.org/10.1016/j.healthpol.2012.02.001"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news.bbc.co.uk/2/hi/health/7846842.stm" TargetMode="Externa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ohan\Documents\European%20health%20and%20health%20policy\European%20Population%20Health\Data%20levensverwachting\Gegevens\Historische%20levensverwachting%20Grafieken%20Versie%202305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ohan\Documents\European%20health%20and%20health%20policy\European%20Population%20Health\Data%20levensverwachting\Gegevens\Historische%20levensverwachting%20Grafieken%20Versie%202305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hsrmmck\AppData\Local\Temp\XPGrpWise\tables%20updat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hsrmmck\AppData\Local\Temp\XPGrpWise\tables%20updat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hsrmmck\AppData\Local\Temp\XPGrpWise\tables%20updat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hsrmmck\AppData\Local\Temp\XPGrpWise\tables%20updat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Johan\Desktop\European%20health%20and%20health%20policy%20Bellagio\Successes%20and%20failures%20of%20health%20policy\Analyses\Summary%20table%20Successes%20and%20failures%20of%20health%20policy%20Version%2011051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Johan\Documents\European%20health%20and%20health%20policy\Successes%20and%20failures%20of%20health%20policy\Analyses\Successes%20and%20failures%20of%20health%20policy%20Version%2011051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Johan\Documents\European%20health%20and%20health%20policy\Successes%20and%20failures%20of%20health%20policy\Analyses\Successes%20and%20failures%20of%20health%20policy%20Version%2011051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Blad1!$A$40</c:f>
              <c:strCache>
                <c:ptCount val="1"/>
                <c:pt idx="0">
                  <c:v>Finland</c:v>
                </c:pt>
              </c:strCache>
            </c:strRef>
          </c:tx>
          <c:marker>
            <c:symbol val="none"/>
          </c:marker>
          <c:cat>
            <c:numRef>
              <c:f>Blad1!$B$39:$AY$39</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Blad1!$B$40:$AY$40</c:f>
              <c:numCache>
                <c:formatCode>General</c:formatCode>
                <c:ptCount val="50"/>
                <c:pt idx="0">
                  <c:v>65.400000000000006</c:v>
                </c:pt>
                <c:pt idx="1">
                  <c:v>65.61</c:v>
                </c:pt>
                <c:pt idx="2">
                  <c:v>65.09</c:v>
                </c:pt>
                <c:pt idx="3">
                  <c:v>65.510000000000005</c:v>
                </c:pt>
                <c:pt idx="4">
                  <c:v>65.649999999999991</c:v>
                </c:pt>
                <c:pt idx="5">
                  <c:v>65.290000000000006</c:v>
                </c:pt>
                <c:pt idx="6">
                  <c:v>65.959999999999994</c:v>
                </c:pt>
                <c:pt idx="7">
                  <c:v>65.92</c:v>
                </c:pt>
                <c:pt idx="8">
                  <c:v>65.86999999999999</c:v>
                </c:pt>
                <c:pt idx="9">
                  <c:v>65.63</c:v>
                </c:pt>
                <c:pt idx="10">
                  <c:v>66.209999999999994</c:v>
                </c:pt>
                <c:pt idx="11">
                  <c:v>66.05</c:v>
                </c:pt>
                <c:pt idx="12">
                  <c:v>66.61999999999999</c:v>
                </c:pt>
                <c:pt idx="13">
                  <c:v>67.02</c:v>
                </c:pt>
                <c:pt idx="14">
                  <c:v>67.010000000000005</c:v>
                </c:pt>
                <c:pt idx="15">
                  <c:v>67.47</c:v>
                </c:pt>
                <c:pt idx="16">
                  <c:v>67.599999999999994</c:v>
                </c:pt>
                <c:pt idx="17">
                  <c:v>67.95</c:v>
                </c:pt>
                <c:pt idx="18">
                  <c:v>68.58</c:v>
                </c:pt>
                <c:pt idx="19">
                  <c:v>69.010000000000005</c:v>
                </c:pt>
                <c:pt idx="20">
                  <c:v>69.25</c:v>
                </c:pt>
                <c:pt idx="21">
                  <c:v>69.64</c:v>
                </c:pt>
                <c:pt idx="22">
                  <c:v>70.27</c:v>
                </c:pt>
                <c:pt idx="23">
                  <c:v>70.27</c:v>
                </c:pt>
                <c:pt idx="24">
                  <c:v>70.569999999999993</c:v>
                </c:pt>
                <c:pt idx="25">
                  <c:v>70.13</c:v>
                </c:pt>
                <c:pt idx="26">
                  <c:v>70.599999999999994</c:v>
                </c:pt>
                <c:pt idx="27">
                  <c:v>70.77</c:v>
                </c:pt>
                <c:pt idx="28">
                  <c:v>70.75</c:v>
                </c:pt>
                <c:pt idx="29">
                  <c:v>70.95</c:v>
                </c:pt>
                <c:pt idx="30">
                  <c:v>71.02</c:v>
                </c:pt>
                <c:pt idx="31">
                  <c:v>71.430000000000007</c:v>
                </c:pt>
                <c:pt idx="32">
                  <c:v>71.78</c:v>
                </c:pt>
                <c:pt idx="33">
                  <c:v>72.19</c:v>
                </c:pt>
                <c:pt idx="34">
                  <c:v>72.95</c:v>
                </c:pt>
                <c:pt idx="35">
                  <c:v>72.89</c:v>
                </c:pt>
                <c:pt idx="36">
                  <c:v>73.16</c:v>
                </c:pt>
                <c:pt idx="37">
                  <c:v>73.55</c:v>
                </c:pt>
                <c:pt idx="38">
                  <c:v>73.649999999999991</c:v>
                </c:pt>
                <c:pt idx="39">
                  <c:v>73.849999999999994</c:v>
                </c:pt>
                <c:pt idx="40">
                  <c:v>74.290000000000006</c:v>
                </c:pt>
                <c:pt idx="41">
                  <c:v>74.72</c:v>
                </c:pt>
                <c:pt idx="42">
                  <c:v>75.02</c:v>
                </c:pt>
                <c:pt idx="43">
                  <c:v>75.25</c:v>
                </c:pt>
                <c:pt idx="44">
                  <c:v>75.39</c:v>
                </c:pt>
                <c:pt idx="45">
                  <c:v>75.81</c:v>
                </c:pt>
                <c:pt idx="46">
                  <c:v>76.02</c:v>
                </c:pt>
                <c:pt idx="47">
                  <c:v>76.09</c:v>
                </c:pt>
                <c:pt idx="48">
                  <c:v>76.599999999999994</c:v>
                </c:pt>
                <c:pt idx="49">
                  <c:v>76.739999999999995</c:v>
                </c:pt>
              </c:numCache>
            </c:numRef>
          </c:val>
          <c:smooth val="0"/>
        </c:ser>
        <c:ser>
          <c:idx val="1"/>
          <c:order val="1"/>
          <c:tx>
            <c:strRef>
              <c:f>Blad1!$A$41</c:f>
              <c:strCache>
                <c:ptCount val="1"/>
                <c:pt idx="0">
                  <c:v>Germany (FRG)</c:v>
                </c:pt>
              </c:strCache>
            </c:strRef>
          </c:tx>
          <c:marker>
            <c:symbol val="none"/>
          </c:marker>
          <c:cat>
            <c:numRef>
              <c:f>Blad1!$B$39:$AY$39</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Blad1!$B$41:$AY$41</c:f>
              <c:numCache>
                <c:formatCode>General</c:formatCode>
                <c:ptCount val="50"/>
                <c:pt idx="0">
                  <c:v>66.52</c:v>
                </c:pt>
                <c:pt idx="1">
                  <c:v>66.97</c:v>
                </c:pt>
                <c:pt idx="2">
                  <c:v>67.11</c:v>
                </c:pt>
                <c:pt idx="3">
                  <c:v>67.06</c:v>
                </c:pt>
                <c:pt idx="4">
                  <c:v>67.599999999999994</c:v>
                </c:pt>
                <c:pt idx="5">
                  <c:v>67.59</c:v>
                </c:pt>
                <c:pt idx="6">
                  <c:v>67.55</c:v>
                </c:pt>
                <c:pt idx="7">
                  <c:v>67.739999999999995</c:v>
                </c:pt>
                <c:pt idx="8">
                  <c:v>67.400000000000006</c:v>
                </c:pt>
                <c:pt idx="9">
                  <c:v>67.149999999999991</c:v>
                </c:pt>
                <c:pt idx="10">
                  <c:v>67.34</c:v>
                </c:pt>
                <c:pt idx="11">
                  <c:v>67.47</c:v>
                </c:pt>
                <c:pt idx="12">
                  <c:v>67.63</c:v>
                </c:pt>
                <c:pt idx="13">
                  <c:v>67.86</c:v>
                </c:pt>
                <c:pt idx="14">
                  <c:v>68.25</c:v>
                </c:pt>
                <c:pt idx="15">
                  <c:v>68.069999999999993</c:v>
                </c:pt>
                <c:pt idx="16">
                  <c:v>68.569999999999993</c:v>
                </c:pt>
                <c:pt idx="17">
                  <c:v>69.209999999999994</c:v>
                </c:pt>
                <c:pt idx="18">
                  <c:v>69.179999999999978</c:v>
                </c:pt>
                <c:pt idx="19">
                  <c:v>69.66</c:v>
                </c:pt>
                <c:pt idx="20">
                  <c:v>69.86999999999999</c:v>
                </c:pt>
                <c:pt idx="21">
                  <c:v>70.14</c:v>
                </c:pt>
                <c:pt idx="22">
                  <c:v>70.47</c:v>
                </c:pt>
                <c:pt idx="23">
                  <c:v>70.73</c:v>
                </c:pt>
                <c:pt idx="24">
                  <c:v>71.290000000000006</c:v>
                </c:pt>
                <c:pt idx="25">
                  <c:v>71.489999999999995</c:v>
                </c:pt>
                <c:pt idx="26">
                  <c:v>71.77</c:v>
                </c:pt>
                <c:pt idx="27">
                  <c:v>72.14</c:v>
                </c:pt>
                <c:pt idx="28">
                  <c:v>72.410000000000025</c:v>
                </c:pt>
                <c:pt idx="29">
                  <c:v>72.58</c:v>
                </c:pt>
                <c:pt idx="30">
                  <c:v>72.63</c:v>
                </c:pt>
                <c:pt idx="31">
                  <c:v>72.790000000000006</c:v>
                </c:pt>
                <c:pt idx="32">
                  <c:v>73.19</c:v>
                </c:pt>
                <c:pt idx="33">
                  <c:v>73.239999999999995</c:v>
                </c:pt>
                <c:pt idx="34">
                  <c:v>73.55</c:v>
                </c:pt>
                <c:pt idx="35">
                  <c:v>73.66</c:v>
                </c:pt>
                <c:pt idx="36">
                  <c:v>73.92</c:v>
                </c:pt>
                <c:pt idx="37">
                  <c:v>74.33</c:v>
                </c:pt>
                <c:pt idx="38">
                  <c:v>74.7</c:v>
                </c:pt>
                <c:pt idx="39">
                  <c:v>74.95</c:v>
                </c:pt>
                <c:pt idx="40">
                  <c:v>75.239999999999995</c:v>
                </c:pt>
                <c:pt idx="41">
                  <c:v>75.64</c:v>
                </c:pt>
                <c:pt idx="42">
                  <c:v>75.819999999999993</c:v>
                </c:pt>
                <c:pt idx="43">
                  <c:v>75.900000000000006</c:v>
                </c:pt>
                <c:pt idx="44">
                  <c:v>76.55</c:v>
                </c:pt>
                <c:pt idx="45">
                  <c:v>76.760000000000005</c:v>
                </c:pt>
                <c:pt idx="46">
                  <c:v>77.2</c:v>
                </c:pt>
                <c:pt idx="47">
                  <c:v>77.34</c:v>
                </c:pt>
                <c:pt idx="48">
                  <c:v>77.540000000000006</c:v>
                </c:pt>
                <c:pt idx="49">
                  <c:v>77.69</c:v>
                </c:pt>
              </c:numCache>
            </c:numRef>
          </c:val>
          <c:smooth val="0"/>
        </c:ser>
        <c:ser>
          <c:idx val="2"/>
          <c:order val="2"/>
          <c:tx>
            <c:strRef>
              <c:f>Blad1!$A$42</c:f>
              <c:strCache>
                <c:ptCount val="1"/>
                <c:pt idx="0">
                  <c:v>Italy</c:v>
                </c:pt>
              </c:strCache>
            </c:strRef>
          </c:tx>
          <c:marker>
            <c:symbol val="none"/>
          </c:marker>
          <c:cat>
            <c:numRef>
              <c:f>Blad1!$B$39:$AY$39</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Blad1!$B$42:$AY$42</c:f>
              <c:numCache>
                <c:formatCode>General</c:formatCode>
                <c:ptCount val="50"/>
                <c:pt idx="0">
                  <c:v>66.669999999999987</c:v>
                </c:pt>
                <c:pt idx="1">
                  <c:v>67.149999999999991</c:v>
                </c:pt>
                <c:pt idx="2">
                  <c:v>66.53</c:v>
                </c:pt>
                <c:pt idx="3">
                  <c:v>66.56</c:v>
                </c:pt>
                <c:pt idx="4">
                  <c:v>67.569999999999993</c:v>
                </c:pt>
                <c:pt idx="5">
                  <c:v>67.430000000000007</c:v>
                </c:pt>
                <c:pt idx="6">
                  <c:v>68.149999999999991</c:v>
                </c:pt>
                <c:pt idx="7">
                  <c:v>68.209999999999994</c:v>
                </c:pt>
                <c:pt idx="8">
                  <c:v>67.98</c:v>
                </c:pt>
                <c:pt idx="9">
                  <c:v>67.86999999999999</c:v>
                </c:pt>
                <c:pt idx="10">
                  <c:v>68.649999999999991</c:v>
                </c:pt>
                <c:pt idx="11">
                  <c:v>68.78</c:v>
                </c:pt>
                <c:pt idx="12">
                  <c:v>68.95</c:v>
                </c:pt>
                <c:pt idx="13">
                  <c:v>68.849999999999994</c:v>
                </c:pt>
                <c:pt idx="14">
                  <c:v>69.92</c:v>
                </c:pt>
                <c:pt idx="15">
                  <c:v>69.77</c:v>
                </c:pt>
                <c:pt idx="16">
                  <c:v>70.149999999999991</c:v>
                </c:pt>
                <c:pt idx="17">
                  <c:v>70.430000000000007</c:v>
                </c:pt>
                <c:pt idx="18">
                  <c:v>70.73</c:v>
                </c:pt>
                <c:pt idx="19">
                  <c:v>71.05</c:v>
                </c:pt>
                <c:pt idx="20">
                  <c:v>71.05</c:v>
                </c:pt>
                <c:pt idx="21">
                  <c:v>71.55</c:v>
                </c:pt>
                <c:pt idx="22">
                  <c:v>71.669999999999987</c:v>
                </c:pt>
                <c:pt idx="23">
                  <c:v>71.459999999999994</c:v>
                </c:pt>
                <c:pt idx="24">
                  <c:v>72.19</c:v>
                </c:pt>
                <c:pt idx="25">
                  <c:v>72.36999999999999</c:v>
                </c:pt>
                <c:pt idx="26">
                  <c:v>72.72</c:v>
                </c:pt>
                <c:pt idx="27">
                  <c:v>73.14</c:v>
                </c:pt>
                <c:pt idx="28">
                  <c:v>73.33</c:v>
                </c:pt>
                <c:pt idx="29">
                  <c:v>73.69</c:v>
                </c:pt>
                <c:pt idx="30">
                  <c:v>73.790000000000006</c:v>
                </c:pt>
                <c:pt idx="31">
                  <c:v>73.73</c:v>
                </c:pt>
                <c:pt idx="32">
                  <c:v>74.099999999999994</c:v>
                </c:pt>
                <c:pt idx="33">
                  <c:v>74.430000000000007</c:v>
                </c:pt>
                <c:pt idx="34">
                  <c:v>74.61999999999999</c:v>
                </c:pt>
                <c:pt idx="35">
                  <c:v>74.83</c:v>
                </c:pt>
                <c:pt idx="36">
                  <c:v>75.31</c:v>
                </c:pt>
                <c:pt idx="37">
                  <c:v>75.66</c:v>
                </c:pt>
                <c:pt idx="38">
                  <c:v>75.77</c:v>
                </c:pt>
                <c:pt idx="39">
                  <c:v>76.2</c:v>
                </c:pt>
                <c:pt idx="40">
                  <c:v>76.649999999999991</c:v>
                </c:pt>
                <c:pt idx="41">
                  <c:v>76.959999999999994</c:v>
                </c:pt>
                <c:pt idx="42">
                  <c:v>77.27</c:v>
                </c:pt>
                <c:pt idx="43">
                  <c:v>77.239999999999995</c:v>
                </c:pt>
                <c:pt idx="46">
                  <c:v>78.61999999999999</c:v>
                </c:pt>
                <c:pt idx="47">
                  <c:v>78.84</c:v>
                </c:pt>
                <c:pt idx="48">
                  <c:v>79.09</c:v>
                </c:pt>
              </c:numCache>
            </c:numRef>
          </c:val>
          <c:smooth val="0"/>
        </c:ser>
        <c:ser>
          <c:idx val="3"/>
          <c:order val="3"/>
          <c:tx>
            <c:strRef>
              <c:f>Blad1!$A$43</c:f>
              <c:strCache>
                <c:ptCount val="1"/>
                <c:pt idx="0">
                  <c:v>Portugal</c:v>
                </c:pt>
              </c:strCache>
            </c:strRef>
          </c:tx>
          <c:marker>
            <c:symbol val="none"/>
          </c:marker>
          <c:cat>
            <c:numRef>
              <c:f>Blad1!$B$39:$AY$39</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Blad1!$B$43:$AY$43</c:f>
              <c:numCache>
                <c:formatCode>General</c:formatCode>
                <c:ptCount val="50"/>
                <c:pt idx="0">
                  <c:v>61.28</c:v>
                </c:pt>
                <c:pt idx="1">
                  <c:v>59.94</c:v>
                </c:pt>
                <c:pt idx="2">
                  <c:v>61.260000000000012</c:v>
                </c:pt>
                <c:pt idx="3">
                  <c:v>61.91</c:v>
                </c:pt>
                <c:pt idx="4">
                  <c:v>62.160000000000011</c:v>
                </c:pt>
                <c:pt idx="5">
                  <c:v>62.93</c:v>
                </c:pt>
                <c:pt idx="6">
                  <c:v>62.36</c:v>
                </c:pt>
                <c:pt idx="7">
                  <c:v>63.230000000000011</c:v>
                </c:pt>
                <c:pt idx="8">
                  <c:v>63.61</c:v>
                </c:pt>
                <c:pt idx="9">
                  <c:v>63.15</c:v>
                </c:pt>
                <c:pt idx="10">
                  <c:v>66.42</c:v>
                </c:pt>
                <c:pt idx="11">
                  <c:v>63.77</c:v>
                </c:pt>
                <c:pt idx="12">
                  <c:v>65.45</c:v>
                </c:pt>
                <c:pt idx="13">
                  <c:v>64.69</c:v>
                </c:pt>
                <c:pt idx="14">
                  <c:v>65.239999999999995</c:v>
                </c:pt>
                <c:pt idx="15">
                  <c:v>65.209999999999994</c:v>
                </c:pt>
                <c:pt idx="16">
                  <c:v>65.319999999999993</c:v>
                </c:pt>
                <c:pt idx="17">
                  <c:v>66.31</c:v>
                </c:pt>
                <c:pt idx="18">
                  <c:v>66.7</c:v>
                </c:pt>
                <c:pt idx="19">
                  <c:v>67.31</c:v>
                </c:pt>
                <c:pt idx="20">
                  <c:v>67.53</c:v>
                </c:pt>
                <c:pt idx="21">
                  <c:v>68.28</c:v>
                </c:pt>
                <c:pt idx="22">
                  <c:v>69.069999999999993</c:v>
                </c:pt>
                <c:pt idx="23">
                  <c:v>69</c:v>
                </c:pt>
                <c:pt idx="24">
                  <c:v>69.169999999999987</c:v>
                </c:pt>
                <c:pt idx="25">
                  <c:v>69.36</c:v>
                </c:pt>
                <c:pt idx="26">
                  <c:v>69.88</c:v>
                </c:pt>
                <c:pt idx="27">
                  <c:v>70.27</c:v>
                </c:pt>
                <c:pt idx="28">
                  <c:v>70.19</c:v>
                </c:pt>
                <c:pt idx="29">
                  <c:v>70.75</c:v>
                </c:pt>
                <c:pt idx="30">
                  <c:v>70.61</c:v>
                </c:pt>
                <c:pt idx="31">
                  <c:v>70.440000000000026</c:v>
                </c:pt>
                <c:pt idx="32">
                  <c:v>70.98</c:v>
                </c:pt>
                <c:pt idx="33">
                  <c:v>70.930000000000007</c:v>
                </c:pt>
                <c:pt idx="34">
                  <c:v>71.97</c:v>
                </c:pt>
                <c:pt idx="35">
                  <c:v>71.66</c:v>
                </c:pt>
                <c:pt idx="36">
                  <c:v>71.59</c:v>
                </c:pt>
                <c:pt idx="37">
                  <c:v>72.16</c:v>
                </c:pt>
                <c:pt idx="38">
                  <c:v>72.33</c:v>
                </c:pt>
                <c:pt idx="39">
                  <c:v>72.61999999999999</c:v>
                </c:pt>
                <c:pt idx="40">
                  <c:v>73.2</c:v>
                </c:pt>
                <c:pt idx="41">
                  <c:v>73.510000000000005</c:v>
                </c:pt>
                <c:pt idx="42">
                  <c:v>73.819999999999993</c:v>
                </c:pt>
                <c:pt idx="43">
                  <c:v>74.27</c:v>
                </c:pt>
                <c:pt idx="44">
                  <c:v>74.940000000000026</c:v>
                </c:pt>
                <c:pt idx="47">
                  <c:v>75.940000000000026</c:v>
                </c:pt>
                <c:pt idx="48">
                  <c:v>76.239999999999995</c:v>
                </c:pt>
                <c:pt idx="49">
                  <c:v>76.48</c:v>
                </c:pt>
              </c:numCache>
            </c:numRef>
          </c:val>
          <c:smooth val="0"/>
        </c:ser>
        <c:ser>
          <c:idx val="4"/>
          <c:order val="4"/>
          <c:tx>
            <c:strRef>
              <c:f>Blad1!$A$44</c:f>
              <c:strCache>
                <c:ptCount val="1"/>
                <c:pt idx="0">
                  <c:v>Sweden</c:v>
                </c:pt>
              </c:strCache>
            </c:strRef>
          </c:tx>
          <c:marker>
            <c:symbol val="none"/>
          </c:marker>
          <c:cat>
            <c:numRef>
              <c:f>Blad1!$B$39:$AY$39</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Blad1!$B$44:$AY$44</c:f>
              <c:numCache>
                <c:formatCode>General</c:formatCode>
                <c:ptCount val="50"/>
                <c:pt idx="0">
                  <c:v>71.23</c:v>
                </c:pt>
                <c:pt idx="1">
                  <c:v>71.64</c:v>
                </c:pt>
                <c:pt idx="2">
                  <c:v>71.36</c:v>
                </c:pt>
                <c:pt idx="3">
                  <c:v>71.540000000000006</c:v>
                </c:pt>
                <c:pt idx="4">
                  <c:v>71.63</c:v>
                </c:pt>
                <c:pt idx="5">
                  <c:v>71.73</c:v>
                </c:pt>
                <c:pt idx="6">
                  <c:v>71.849999999999994</c:v>
                </c:pt>
                <c:pt idx="7">
                  <c:v>71.849999999999994</c:v>
                </c:pt>
                <c:pt idx="8">
                  <c:v>71.73</c:v>
                </c:pt>
                <c:pt idx="9">
                  <c:v>71.73</c:v>
                </c:pt>
                <c:pt idx="10">
                  <c:v>72.36</c:v>
                </c:pt>
                <c:pt idx="11">
                  <c:v>72.069999999999993</c:v>
                </c:pt>
                <c:pt idx="12">
                  <c:v>72.11</c:v>
                </c:pt>
                <c:pt idx="13">
                  <c:v>72.23</c:v>
                </c:pt>
                <c:pt idx="14">
                  <c:v>72.290000000000006</c:v>
                </c:pt>
                <c:pt idx="15">
                  <c:v>72.23</c:v>
                </c:pt>
                <c:pt idx="16">
                  <c:v>72.22</c:v>
                </c:pt>
                <c:pt idx="17">
                  <c:v>72.489999999999995</c:v>
                </c:pt>
                <c:pt idx="18">
                  <c:v>72.53</c:v>
                </c:pt>
                <c:pt idx="19">
                  <c:v>72.59</c:v>
                </c:pt>
                <c:pt idx="20">
                  <c:v>72.849999999999994</c:v>
                </c:pt>
                <c:pt idx="21">
                  <c:v>73.16</c:v>
                </c:pt>
                <c:pt idx="22">
                  <c:v>73.52</c:v>
                </c:pt>
                <c:pt idx="23">
                  <c:v>73.709999999999994</c:v>
                </c:pt>
                <c:pt idx="24">
                  <c:v>73.95</c:v>
                </c:pt>
                <c:pt idx="25">
                  <c:v>73.86999999999999</c:v>
                </c:pt>
                <c:pt idx="26">
                  <c:v>74.08</c:v>
                </c:pt>
                <c:pt idx="27">
                  <c:v>74.260000000000005</c:v>
                </c:pt>
                <c:pt idx="28">
                  <c:v>74.22</c:v>
                </c:pt>
                <c:pt idx="29">
                  <c:v>74.89</c:v>
                </c:pt>
                <c:pt idx="30">
                  <c:v>74.930000000000007</c:v>
                </c:pt>
                <c:pt idx="31">
                  <c:v>75.09</c:v>
                </c:pt>
                <c:pt idx="32">
                  <c:v>75.53</c:v>
                </c:pt>
                <c:pt idx="33">
                  <c:v>75.63</c:v>
                </c:pt>
                <c:pt idx="34">
                  <c:v>76.27</c:v>
                </c:pt>
                <c:pt idx="35">
                  <c:v>76.34</c:v>
                </c:pt>
                <c:pt idx="36">
                  <c:v>76.7</c:v>
                </c:pt>
                <c:pt idx="37">
                  <c:v>76.849999999999994</c:v>
                </c:pt>
                <c:pt idx="38">
                  <c:v>76.95</c:v>
                </c:pt>
                <c:pt idx="39">
                  <c:v>77.13</c:v>
                </c:pt>
                <c:pt idx="40">
                  <c:v>77.510000000000005</c:v>
                </c:pt>
                <c:pt idx="41">
                  <c:v>77.669999999999987</c:v>
                </c:pt>
                <c:pt idx="42">
                  <c:v>77.849999999999994</c:v>
                </c:pt>
                <c:pt idx="43">
                  <c:v>78.06</c:v>
                </c:pt>
                <c:pt idx="44">
                  <c:v>78.33</c:v>
                </c:pt>
                <c:pt idx="45">
                  <c:v>78.569999999999993</c:v>
                </c:pt>
                <c:pt idx="46">
                  <c:v>78.88</c:v>
                </c:pt>
                <c:pt idx="47">
                  <c:v>79.11999999999999</c:v>
                </c:pt>
                <c:pt idx="48">
                  <c:v>79.290000000000006</c:v>
                </c:pt>
                <c:pt idx="49">
                  <c:v>79.53</c:v>
                </c:pt>
              </c:numCache>
            </c:numRef>
          </c:val>
          <c:smooth val="0"/>
        </c:ser>
        <c:ser>
          <c:idx val="5"/>
          <c:order val="5"/>
          <c:tx>
            <c:strRef>
              <c:f>Blad1!$A$45</c:f>
              <c:strCache>
                <c:ptCount val="1"/>
                <c:pt idx="0">
                  <c:v>United Kingdom</c:v>
                </c:pt>
              </c:strCache>
            </c:strRef>
          </c:tx>
          <c:marker>
            <c:symbol val="none"/>
          </c:marker>
          <c:cat>
            <c:numRef>
              <c:f>Blad1!$B$39:$AY$39</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Blad1!$B$45:$AY$45</c:f>
              <c:numCache>
                <c:formatCode>General</c:formatCode>
                <c:ptCount val="50"/>
                <c:pt idx="0">
                  <c:v>68.05</c:v>
                </c:pt>
                <c:pt idx="1">
                  <c:v>67.81</c:v>
                </c:pt>
                <c:pt idx="2">
                  <c:v>67.819999999999993</c:v>
                </c:pt>
                <c:pt idx="3">
                  <c:v>67.709999999999994</c:v>
                </c:pt>
                <c:pt idx="4">
                  <c:v>68.410000000000025</c:v>
                </c:pt>
                <c:pt idx="5">
                  <c:v>68.36</c:v>
                </c:pt>
                <c:pt idx="6">
                  <c:v>68.28</c:v>
                </c:pt>
                <c:pt idx="7">
                  <c:v>68.930000000000007</c:v>
                </c:pt>
                <c:pt idx="8">
                  <c:v>68.569999999999993</c:v>
                </c:pt>
                <c:pt idx="9">
                  <c:v>68.459999999999994</c:v>
                </c:pt>
                <c:pt idx="10">
                  <c:v>68.75</c:v>
                </c:pt>
                <c:pt idx="11">
                  <c:v>69.13</c:v>
                </c:pt>
                <c:pt idx="12">
                  <c:v>68.86</c:v>
                </c:pt>
                <c:pt idx="13">
                  <c:v>69.02</c:v>
                </c:pt>
                <c:pt idx="14">
                  <c:v>69.23</c:v>
                </c:pt>
                <c:pt idx="15">
                  <c:v>69.540000000000006</c:v>
                </c:pt>
                <c:pt idx="16">
                  <c:v>69.569999999999993</c:v>
                </c:pt>
                <c:pt idx="17">
                  <c:v>70.069999999999993</c:v>
                </c:pt>
                <c:pt idx="18">
                  <c:v>70.02</c:v>
                </c:pt>
                <c:pt idx="19">
                  <c:v>70.11999999999999</c:v>
                </c:pt>
                <c:pt idx="20">
                  <c:v>70.61</c:v>
                </c:pt>
                <c:pt idx="21">
                  <c:v>70.930000000000007</c:v>
                </c:pt>
                <c:pt idx="22">
                  <c:v>71.11</c:v>
                </c:pt>
                <c:pt idx="23">
                  <c:v>71.34</c:v>
                </c:pt>
                <c:pt idx="24">
                  <c:v>71.75</c:v>
                </c:pt>
                <c:pt idx="25">
                  <c:v>71.709999999999994</c:v>
                </c:pt>
                <c:pt idx="26">
                  <c:v>71.930000000000007</c:v>
                </c:pt>
                <c:pt idx="27">
                  <c:v>72.36</c:v>
                </c:pt>
                <c:pt idx="28">
                  <c:v>72.45</c:v>
                </c:pt>
                <c:pt idx="29">
                  <c:v>72.669999999999987</c:v>
                </c:pt>
                <c:pt idx="30">
                  <c:v>72.98</c:v>
                </c:pt>
                <c:pt idx="31">
                  <c:v>73.2</c:v>
                </c:pt>
                <c:pt idx="32">
                  <c:v>73.64</c:v>
                </c:pt>
                <c:pt idx="33">
                  <c:v>73.55</c:v>
                </c:pt>
                <c:pt idx="34">
                  <c:v>74.11</c:v>
                </c:pt>
                <c:pt idx="35">
                  <c:v>74.06</c:v>
                </c:pt>
                <c:pt idx="36">
                  <c:v>74.38</c:v>
                </c:pt>
                <c:pt idx="37">
                  <c:v>74.72</c:v>
                </c:pt>
                <c:pt idx="38">
                  <c:v>74.88</c:v>
                </c:pt>
                <c:pt idx="39">
                  <c:v>75.03</c:v>
                </c:pt>
                <c:pt idx="40">
                  <c:v>75.58</c:v>
                </c:pt>
                <c:pt idx="41">
                  <c:v>75.819999999999993</c:v>
                </c:pt>
                <c:pt idx="42">
                  <c:v>75.98</c:v>
                </c:pt>
                <c:pt idx="43">
                  <c:v>76.2</c:v>
                </c:pt>
                <c:pt idx="44">
                  <c:v>76.78</c:v>
                </c:pt>
                <c:pt idx="45">
                  <c:v>77.09</c:v>
                </c:pt>
                <c:pt idx="46">
                  <c:v>77.440000000000026</c:v>
                </c:pt>
                <c:pt idx="47">
                  <c:v>77.7</c:v>
                </c:pt>
                <c:pt idx="48">
                  <c:v>77.89</c:v>
                </c:pt>
                <c:pt idx="49">
                  <c:v>78.400000000000006</c:v>
                </c:pt>
              </c:numCache>
            </c:numRef>
          </c:val>
          <c:smooth val="0"/>
        </c:ser>
        <c:dLbls>
          <c:showLegendKey val="0"/>
          <c:showVal val="0"/>
          <c:showCatName val="0"/>
          <c:showSerName val="0"/>
          <c:showPercent val="0"/>
          <c:showBubbleSize val="0"/>
        </c:dLbls>
        <c:marker val="1"/>
        <c:smooth val="0"/>
        <c:axId val="126497920"/>
        <c:axId val="126499456"/>
      </c:lineChart>
      <c:catAx>
        <c:axId val="126497920"/>
        <c:scaling>
          <c:orientation val="minMax"/>
        </c:scaling>
        <c:delete val="0"/>
        <c:axPos val="b"/>
        <c:numFmt formatCode="General" sourceLinked="1"/>
        <c:majorTickMark val="out"/>
        <c:minorTickMark val="none"/>
        <c:tickLblPos val="nextTo"/>
        <c:crossAx val="126499456"/>
        <c:crosses val="autoZero"/>
        <c:auto val="1"/>
        <c:lblAlgn val="ctr"/>
        <c:lblOffset val="100"/>
        <c:noMultiLvlLbl val="0"/>
      </c:catAx>
      <c:valAx>
        <c:axId val="126499456"/>
        <c:scaling>
          <c:orientation val="minMax"/>
          <c:max val="80"/>
          <c:min val="50"/>
        </c:scaling>
        <c:delete val="0"/>
        <c:axPos val="l"/>
        <c:numFmt formatCode="General" sourceLinked="1"/>
        <c:majorTickMark val="out"/>
        <c:minorTickMark val="none"/>
        <c:tickLblPos val="nextTo"/>
        <c:crossAx val="12649792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Blad1!$A$48</c:f>
              <c:strCache>
                <c:ptCount val="1"/>
                <c:pt idx="0">
                  <c:v>Germany (DDR)</c:v>
                </c:pt>
              </c:strCache>
            </c:strRef>
          </c:tx>
          <c:marker>
            <c:symbol val="none"/>
          </c:marker>
          <c:cat>
            <c:numRef>
              <c:f>Blad1!$B$47:$AY$47</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Blad1!$B$48:$AY$48</c:f>
              <c:numCache>
                <c:formatCode>General</c:formatCode>
                <c:ptCount val="50"/>
                <c:pt idx="0">
                  <c:v>66.48</c:v>
                </c:pt>
                <c:pt idx="1">
                  <c:v>67.27</c:v>
                </c:pt>
                <c:pt idx="2">
                  <c:v>67.28</c:v>
                </c:pt>
                <c:pt idx="3">
                  <c:v>67.77</c:v>
                </c:pt>
                <c:pt idx="4">
                  <c:v>67.86999999999999</c:v>
                </c:pt>
                <c:pt idx="5">
                  <c:v>67.97</c:v>
                </c:pt>
                <c:pt idx="6">
                  <c:v>68.349999999999994</c:v>
                </c:pt>
                <c:pt idx="7">
                  <c:v>68.440000000000026</c:v>
                </c:pt>
                <c:pt idx="8">
                  <c:v>68.040000000000006</c:v>
                </c:pt>
                <c:pt idx="9">
                  <c:v>67.849999999999994</c:v>
                </c:pt>
                <c:pt idx="10">
                  <c:v>68.14</c:v>
                </c:pt>
                <c:pt idx="11">
                  <c:v>68.58</c:v>
                </c:pt>
                <c:pt idx="12">
                  <c:v>68.64</c:v>
                </c:pt>
                <c:pt idx="13">
                  <c:v>68.849999999999994</c:v>
                </c:pt>
                <c:pt idx="14">
                  <c:v>68.959999999999994</c:v>
                </c:pt>
                <c:pt idx="15">
                  <c:v>68.569999999999993</c:v>
                </c:pt>
                <c:pt idx="16">
                  <c:v>68.86</c:v>
                </c:pt>
                <c:pt idx="17">
                  <c:v>69.02</c:v>
                </c:pt>
                <c:pt idx="18">
                  <c:v>68.819999999999993</c:v>
                </c:pt>
                <c:pt idx="19">
                  <c:v>68.760000000000005</c:v>
                </c:pt>
                <c:pt idx="20">
                  <c:v>68.709999999999994</c:v>
                </c:pt>
                <c:pt idx="21">
                  <c:v>69</c:v>
                </c:pt>
                <c:pt idx="22">
                  <c:v>69.13</c:v>
                </c:pt>
                <c:pt idx="23">
                  <c:v>69.510000000000005</c:v>
                </c:pt>
                <c:pt idx="24">
                  <c:v>69.7</c:v>
                </c:pt>
                <c:pt idx="25">
                  <c:v>69.56</c:v>
                </c:pt>
                <c:pt idx="26">
                  <c:v>69.61999999999999</c:v>
                </c:pt>
                <c:pt idx="27">
                  <c:v>69.88</c:v>
                </c:pt>
                <c:pt idx="28">
                  <c:v>69.83</c:v>
                </c:pt>
                <c:pt idx="29">
                  <c:v>70.179999999999978</c:v>
                </c:pt>
                <c:pt idx="30">
                  <c:v>69.23</c:v>
                </c:pt>
                <c:pt idx="31">
                  <c:v>69.45</c:v>
                </c:pt>
                <c:pt idx="32">
                  <c:v>70.03</c:v>
                </c:pt>
                <c:pt idx="33">
                  <c:v>70.36</c:v>
                </c:pt>
                <c:pt idx="34">
                  <c:v>70.7</c:v>
                </c:pt>
                <c:pt idx="35">
                  <c:v>71.209999999999994</c:v>
                </c:pt>
                <c:pt idx="36">
                  <c:v>71.72</c:v>
                </c:pt>
                <c:pt idx="37">
                  <c:v>72.36999999999999</c:v>
                </c:pt>
                <c:pt idx="38">
                  <c:v>73.11999999999999</c:v>
                </c:pt>
                <c:pt idx="39">
                  <c:v>73.489999999999995</c:v>
                </c:pt>
                <c:pt idx="40">
                  <c:v>73.78</c:v>
                </c:pt>
                <c:pt idx="41">
                  <c:v>74.38</c:v>
                </c:pt>
                <c:pt idx="42">
                  <c:v>74.5</c:v>
                </c:pt>
                <c:pt idx="43">
                  <c:v>74.64</c:v>
                </c:pt>
                <c:pt idx="44">
                  <c:v>75.25</c:v>
                </c:pt>
                <c:pt idx="45">
                  <c:v>75.649999999999991</c:v>
                </c:pt>
                <c:pt idx="46">
                  <c:v>75.97</c:v>
                </c:pt>
                <c:pt idx="47">
                  <c:v>76.290000000000006</c:v>
                </c:pt>
                <c:pt idx="48">
                  <c:v>76.48</c:v>
                </c:pt>
                <c:pt idx="49">
                  <c:v>76.58</c:v>
                </c:pt>
              </c:numCache>
            </c:numRef>
          </c:val>
          <c:smooth val="0"/>
        </c:ser>
        <c:ser>
          <c:idx val="1"/>
          <c:order val="1"/>
          <c:tx>
            <c:strRef>
              <c:f>Blad1!$A$49</c:f>
              <c:strCache>
                <c:ptCount val="1"/>
                <c:pt idx="0">
                  <c:v>Croatia</c:v>
                </c:pt>
              </c:strCache>
            </c:strRef>
          </c:tx>
          <c:marker>
            <c:symbol val="none"/>
          </c:marker>
          <c:cat>
            <c:numRef>
              <c:f>Blad1!$B$47:$AY$47</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Blad1!$B$49:$AY$49</c:f>
              <c:numCache>
                <c:formatCode>General</c:formatCode>
                <c:ptCount val="50"/>
                <c:pt idx="1">
                  <c:v>64.28</c:v>
                </c:pt>
                <c:pt idx="11">
                  <c:v>65.649999999999991</c:v>
                </c:pt>
                <c:pt idx="21">
                  <c:v>66.64</c:v>
                </c:pt>
                <c:pt idx="25">
                  <c:v>67.63</c:v>
                </c:pt>
                <c:pt idx="26">
                  <c:v>68.02</c:v>
                </c:pt>
                <c:pt idx="27">
                  <c:v>67.86</c:v>
                </c:pt>
                <c:pt idx="28">
                  <c:v>67.97</c:v>
                </c:pt>
                <c:pt idx="29">
                  <c:v>68.64</c:v>
                </c:pt>
                <c:pt idx="30">
                  <c:v>68.69</c:v>
                </c:pt>
                <c:pt idx="31">
                  <c:v>66.05</c:v>
                </c:pt>
                <c:pt idx="32">
                  <c:v>67.06</c:v>
                </c:pt>
                <c:pt idx="33">
                  <c:v>68.53</c:v>
                </c:pt>
                <c:pt idx="34">
                  <c:v>69.179999999999978</c:v>
                </c:pt>
                <c:pt idx="35">
                  <c:v>69.3</c:v>
                </c:pt>
                <c:pt idx="36">
                  <c:v>68.739999999999995</c:v>
                </c:pt>
                <c:pt idx="37">
                  <c:v>68.61</c:v>
                </c:pt>
                <c:pt idx="38">
                  <c:v>68.599999999999994</c:v>
                </c:pt>
                <c:pt idx="39">
                  <c:v>68.92</c:v>
                </c:pt>
                <c:pt idx="40">
                  <c:v>69.11999999999999</c:v>
                </c:pt>
                <c:pt idx="41">
                  <c:v>71.03</c:v>
                </c:pt>
                <c:pt idx="42">
                  <c:v>71.209999999999994</c:v>
                </c:pt>
                <c:pt idx="43">
                  <c:v>71.169999999999987</c:v>
                </c:pt>
                <c:pt idx="44">
                  <c:v>72.13</c:v>
                </c:pt>
                <c:pt idx="45">
                  <c:v>71.900000000000006</c:v>
                </c:pt>
                <c:pt idx="46">
                  <c:v>72.55</c:v>
                </c:pt>
                <c:pt idx="47">
                  <c:v>72.400000000000006</c:v>
                </c:pt>
                <c:pt idx="48">
                  <c:v>72.510000000000005</c:v>
                </c:pt>
                <c:pt idx="49">
                  <c:v>73.03</c:v>
                </c:pt>
              </c:numCache>
            </c:numRef>
          </c:val>
          <c:smooth val="0"/>
        </c:ser>
        <c:ser>
          <c:idx val="2"/>
          <c:order val="2"/>
          <c:tx>
            <c:strRef>
              <c:f>Blad1!$A$50</c:f>
              <c:strCache>
                <c:ptCount val="1"/>
                <c:pt idx="0">
                  <c:v>Hungary</c:v>
                </c:pt>
              </c:strCache>
            </c:strRef>
          </c:tx>
          <c:marker>
            <c:symbol val="none"/>
          </c:marker>
          <c:cat>
            <c:numRef>
              <c:f>Blad1!$B$47:$AY$47</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Blad1!$B$50:$AY$50</c:f>
              <c:numCache>
                <c:formatCode>General</c:formatCode>
                <c:ptCount val="50"/>
                <c:pt idx="0">
                  <c:v>65.92</c:v>
                </c:pt>
                <c:pt idx="1">
                  <c:v>66.760000000000005</c:v>
                </c:pt>
                <c:pt idx="2">
                  <c:v>65.679999999999978</c:v>
                </c:pt>
                <c:pt idx="3">
                  <c:v>66.61999999999999</c:v>
                </c:pt>
                <c:pt idx="4">
                  <c:v>67</c:v>
                </c:pt>
                <c:pt idx="5">
                  <c:v>66.7</c:v>
                </c:pt>
                <c:pt idx="6">
                  <c:v>67.5</c:v>
                </c:pt>
                <c:pt idx="7">
                  <c:v>66.86999999999999</c:v>
                </c:pt>
                <c:pt idx="8">
                  <c:v>66.63</c:v>
                </c:pt>
                <c:pt idx="9">
                  <c:v>66.669999999999987</c:v>
                </c:pt>
                <c:pt idx="10">
                  <c:v>66.39</c:v>
                </c:pt>
                <c:pt idx="11">
                  <c:v>66.179999999999978</c:v>
                </c:pt>
                <c:pt idx="12">
                  <c:v>66.92</c:v>
                </c:pt>
                <c:pt idx="13">
                  <c:v>66.669999999999987</c:v>
                </c:pt>
                <c:pt idx="14">
                  <c:v>66.599999999999994</c:v>
                </c:pt>
                <c:pt idx="15">
                  <c:v>66.42</c:v>
                </c:pt>
                <c:pt idx="16">
                  <c:v>66.679999999999978</c:v>
                </c:pt>
                <c:pt idx="17">
                  <c:v>66.739999999999995</c:v>
                </c:pt>
                <c:pt idx="18">
                  <c:v>66.09</c:v>
                </c:pt>
                <c:pt idx="19">
                  <c:v>66.169999999999987</c:v>
                </c:pt>
                <c:pt idx="20">
                  <c:v>65.52</c:v>
                </c:pt>
                <c:pt idx="21">
                  <c:v>65.540000000000006</c:v>
                </c:pt>
                <c:pt idx="22">
                  <c:v>65.66</c:v>
                </c:pt>
                <c:pt idx="23">
                  <c:v>65.099999999999994</c:v>
                </c:pt>
                <c:pt idx="24">
                  <c:v>65.099999999999994</c:v>
                </c:pt>
                <c:pt idx="25">
                  <c:v>65.179999999999978</c:v>
                </c:pt>
                <c:pt idx="26">
                  <c:v>65.36999999999999</c:v>
                </c:pt>
                <c:pt idx="27">
                  <c:v>65.75</c:v>
                </c:pt>
                <c:pt idx="28">
                  <c:v>66.2</c:v>
                </c:pt>
                <c:pt idx="29">
                  <c:v>65.5</c:v>
                </c:pt>
                <c:pt idx="30">
                  <c:v>65.209999999999994</c:v>
                </c:pt>
                <c:pt idx="31">
                  <c:v>65.149999999999991</c:v>
                </c:pt>
                <c:pt idx="32">
                  <c:v>64.66</c:v>
                </c:pt>
                <c:pt idx="33">
                  <c:v>64.63</c:v>
                </c:pt>
                <c:pt idx="34">
                  <c:v>65.02</c:v>
                </c:pt>
                <c:pt idx="35">
                  <c:v>65.48</c:v>
                </c:pt>
                <c:pt idx="36">
                  <c:v>66.319999999999993</c:v>
                </c:pt>
                <c:pt idx="37">
                  <c:v>66.669999999999987</c:v>
                </c:pt>
                <c:pt idx="38">
                  <c:v>66.45</c:v>
                </c:pt>
                <c:pt idx="39">
                  <c:v>66.72</c:v>
                </c:pt>
                <c:pt idx="40">
                  <c:v>67.61</c:v>
                </c:pt>
                <c:pt idx="41">
                  <c:v>68.319999999999993</c:v>
                </c:pt>
                <c:pt idx="42">
                  <c:v>68.39</c:v>
                </c:pt>
                <c:pt idx="43">
                  <c:v>68.39</c:v>
                </c:pt>
                <c:pt idx="44">
                  <c:v>68.77</c:v>
                </c:pt>
                <c:pt idx="45">
                  <c:v>68.75</c:v>
                </c:pt>
                <c:pt idx="46">
                  <c:v>69.25</c:v>
                </c:pt>
                <c:pt idx="47">
                  <c:v>69.410000000000025</c:v>
                </c:pt>
                <c:pt idx="48">
                  <c:v>70.02</c:v>
                </c:pt>
                <c:pt idx="49">
                  <c:v>70.290000000000006</c:v>
                </c:pt>
              </c:numCache>
            </c:numRef>
          </c:val>
          <c:smooth val="0"/>
        </c:ser>
        <c:ser>
          <c:idx val="3"/>
          <c:order val="3"/>
          <c:tx>
            <c:strRef>
              <c:f>Blad1!$A$51</c:f>
              <c:strCache>
                <c:ptCount val="1"/>
                <c:pt idx="0">
                  <c:v>Estonia</c:v>
                </c:pt>
              </c:strCache>
            </c:strRef>
          </c:tx>
          <c:marker>
            <c:symbol val="none"/>
          </c:marker>
          <c:cat>
            <c:numRef>
              <c:f>Blad1!$B$47:$AY$47</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Blad1!$B$51:$AY$51</c:f>
              <c:numCache>
                <c:formatCode>0.00</c:formatCode>
                <c:ptCount val="50"/>
                <c:pt idx="0">
                  <c:v>64.263000000000005</c:v>
                </c:pt>
                <c:pt idx="1">
                  <c:v>64.649000000000001</c:v>
                </c:pt>
                <c:pt idx="2">
                  <c:v>65.206999999999994</c:v>
                </c:pt>
                <c:pt idx="3">
                  <c:v>64.971999999999994</c:v>
                </c:pt>
                <c:pt idx="4">
                  <c:v>66.019000000000005</c:v>
                </c:pt>
                <c:pt idx="5">
                  <c:v>65.881</c:v>
                </c:pt>
                <c:pt idx="6">
                  <c:v>65.804999999999993</c:v>
                </c:pt>
                <c:pt idx="7">
                  <c:v>66.028999999999982</c:v>
                </c:pt>
                <c:pt idx="8">
                  <c:v>65.584000000000003</c:v>
                </c:pt>
                <c:pt idx="9">
                  <c:v>64.845000000000013</c:v>
                </c:pt>
                <c:pt idx="10">
                  <c:v>64.930999999999997</c:v>
                </c:pt>
                <c:pt idx="11">
                  <c:v>65.290999999999997</c:v>
                </c:pt>
                <c:pt idx="12">
                  <c:v>65.069999999999993</c:v>
                </c:pt>
                <c:pt idx="13">
                  <c:v>65.649999999999991</c:v>
                </c:pt>
                <c:pt idx="14">
                  <c:v>65.694999999999993</c:v>
                </c:pt>
                <c:pt idx="15">
                  <c:v>64.644999999999996</c:v>
                </c:pt>
                <c:pt idx="16">
                  <c:v>64.236000000000004</c:v>
                </c:pt>
                <c:pt idx="17">
                  <c:v>64.450999999999993</c:v>
                </c:pt>
                <c:pt idx="18">
                  <c:v>64.042000000000002</c:v>
                </c:pt>
                <c:pt idx="19">
                  <c:v>63.878</c:v>
                </c:pt>
                <c:pt idx="20">
                  <c:v>63.992000000000012</c:v>
                </c:pt>
                <c:pt idx="21">
                  <c:v>63.873999999999995</c:v>
                </c:pt>
                <c:pt idx="22">
                  <c:v>64.319999999999993</c:v>
                </c:pt>
                <c:pt idx="23">
                  <c:v>64.062000000000012</c:v>
                </c:pt>
                <c:pt idx="24">
                  <c:v>64.296999999999997</c:v>
                </c:pt>
                <c:pt idx="25">
                  <c:v>64.340999999999994</c:v>
                </c:pt>
                <c:pt idx="26">
                  <c:v>65.956000000000003</c:v>
                </c:pt>
                <c:pt idx="27">
                  <c:v>66.062000000000012</c:v>
                </c:pt>
                <c:pt idx="28">
                  <c:v>66.238</c:v>
                </c:pt>
                <c:pt idx="29">
                  <c:v>65.462999999999994</c:v>
                </c:pt>
                <c:pt idx="30">
                  <c:v>64.433999999999997</c:v>
                </c:pt>
                <c:pt idx="31">
                  <c:v>64.203000000000003</c:v>
                </c:pt>
                <c:pt idx="32" formatCode="General">
                  <c:v>63.49</c:v>
                </c:pt>
                <c:pt idx="33" formatCode="General">
                  <c:v>62.36</c:v>
                </c:pt>
                <c:pt idx="34" formatCode="General">
                  <c:v>60.74</c:v>
                </c:pt>
                <c:pt idx="35" formatCode="General">
                  <c:v>61.48</c:v>
                </c:pt>
                <c:pt idx="36" formatCode="General">
                  <c:v>64.25</c:v>
                </c:pt>
                <c:pt idx="37" formatCode="General">
                  <c:v>64.34</c:v>
                </c:pt>
                <c:pt idx="38" formatCode="General">
                  <c:v>64.06</c:v>
                </c:pt>
                <c:pt idx="39" formatCode="General">
                  <c:v>64.92</c:v>
                </c:pt>
                <c:pt idx="40" formatCode="General">
                  <c:v>65.430000000000007</c:v>
                </c:pt>
                <c:pt idx="41" formatCode="General">
                  <c:v>64.910000000000025</c:v>
                </c:pt>
                <c:pt idx="42" formatCode="General">
                  <c:v>65.290000000000006</c:v>
                </c:pt>
                <c:pt idx="43" formatCode="General">
                  <c:v>66.179999999999978</c:v>
                </c:pt>
                <c:pt idx="44" formatCode="General">
                  <c:v>66.48</c:v>
                </c:pt>
                <c:pt idx="45" formatCode="General">
                  <c:v>67.31</c:v>
                </c:pt>
                <c:pt idx="46" formatCode="General">
                  <c:v>67.42</c:v>
                </c:pt>
                <c:pt idx="47" formatCode="General">
                  <c:v>67.31</c:v>
                </c:pt>
                <c:pt idx="48" formatCode="General">
                  <c:v>68.739999999999995</c:v>
                </c:pt>
              </c:numCache>
            </c:numRef>
          </c:val>
          <c:smooth val="0"/>
        </c:ser>
        <c:ser>
          <c:idx val="4"/>
          <c:order val="4"/>
          <c:tx>
            <c:strRef>
              <c:f>Blad1!$A$52</c:f>
              <c:strCache>
                <c:ptCount val="1"/>
                <c:pt idx="0">
                  <c:v>Russian Federation</c:v>
                </c:pt>
              </c:strCache>
            </c:strRef>
          </c:tx>
          <c:marker>
            <c:symbol val="none"/>
          </c:marker>
          <c:cat>
            <c:numRef>
              <c:f>Blad1!$B$47:$AY$47</c:f>
              <c:numCache>
                <c:formatCode>General</c:formatCode>
                <c:ptCount val="50"/>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numCache>
            </c:numRef>
          </c:cat>
          <c:val>
            <c:numRef>
              <c:f>Blad1!$B$52:$AY$52</c:f>
              <c:numCache>
                <c:formatCode>0.00</c:formatCode>
                <c:ptCount val="50"/>
                <c:pt idx="0">
                  <c:v>62.897502718430403</c:v>
                </c:pt>
                <c:pt idx="1">
                  <c:v>63.275269178229202</c:v>
                </c:pt>
                <c:pt idx="2">
                  <c:v>63.093479695237896</c:v>
                </c:pt>
                <c:pt idx="3">
                  <c:v>63.643241713619908</c:v>
                </c:pt>
                <c:pt idx="4">
                  <c:v>64.50280906219831</c:v>
                </c:pt>
                <c:pt idx="5" formatCode="General">
                  <c:v>64.151999999999987</c:v>
                </c:pt>
                <c:pt idx="6" formatCode="General">
                  <c:v>64.069999999999993</c:v>
                </c:pt>
                <c:pt idx="7" formatCode="General">
                  <c:v>63.752000000000002</c:v>
                </c:pt>
                <c:pt idx="8" formatCode="General">
                  <c:v>63.416000000000004</c:v>
                </c:pt>
                <c:pt idx="9" formatCode="General">
                  <c:v>62.667000000000002</c:v>
                </c:pt>
                <c:pt idx="10" formatCode="General">
                  <c:v>62.643000000000001</c:v>
                </c:pt>
                <c:pt idx="11" formatCode="General">
                  <c:v>62.825000000000003</c:v>
                </c:pt>
                <c:pt idx="12" formatCode="General">
                  <c:v>62.827000000000005</c:v>
                </c:pt>
                <c:pt idx="13" formatCode="General">
                  <c:v>62.870999999999995</c:v>
                </c:pt>
                <c:pt idx="14" formatCode="General">
                  <c:v>62.685000000000002</c:v>
                </c:pt>
                <c:pt idx="15" formatCode="General">
                  <c:v>62.048000000000002</c:v>
                </c:pt>
                <c:pt idx="16" formatCode="General">
                  <c:v>61.777000000000001</c:v>
                </c:pt>
                <c:pt idx="17" formatCode="General">
                  <c:v>61.424000000000007</c:v>
                </c:pt>
                <c:pt idx="18" formatCode="General">
                  <c:v>61.439</c:v>
                </c:pt>
                <c:pt idx="19" formatCode="General">
                  <c:v>61.086999999999996</c:v>
                </c:pt>
                <c:pt idx="20" formatCode="General">
                  <c:v>60.965000000000003</c:v>
                </c:pt>
                <c:pt idx="21" formatCode="General">
                  <c:v>61.206000000000003</c:v>
                </c:pt>
                <c:pt idx="22" formatCode="General">
                  <c:v>61.839999999999996</c:v>
                </c:pt>
                <c:pt idx="23" formatCode="General">
                  <c:v>61.734000000000002</c:v>
                </c:pt>
                <c:pt idx="24" formatCode="General">
                  <c:v>61.346000000000004</c:v>
                </c:pt>
                <c:pt idx="25" formatCode="General">
                  <c:v>62.403000000000006</c:v>
                </c:pt>
                <c:pt idx="26" formatCode="General">
                  <c:v>64.478999999999999</c:v>
                </c:pt>
                <c:pt idx="27" formatCode="General">
                  <c:v>64.534000000000006</c:v>
                </c:pt>
                <c:pt idx="28" formatCode="General">
                  <c:v>64.323999999999998</c:v>
                </c:pt>
                <c:pt idx="29" formatCode="General">
                  <c:v>63.911999999999999</c:v>
                </c:pt>
                <c:pt idx="30" formatCode="General">
                  <c:v>63.468000000000011</c:v>
                </c:pt>
                <c:pt idx="31" formatCode="General">
                  <c:v>63.148000000000003</c:v>
                </c:pt>
                <c:pt idx="32" formatCode="General">
                  <c:v>61.717000000000006</c:v>
                </c:pt>
                <c:pt idx="33" formatCode="General">
                  <c:v>58.672000000000011</c:v>
                </c:pt>
                <c:pt idx="34" formatCode="General">
                  <c:v>57.121000000000002</c:v>
                </c:pt>
                <c:pt idx="35" formatCode="General">
                  <c:v>57.865000000000002</c:v>
                </c:pt>
                <c:pt idx="36" formatCode="General">
                  <c:v>59.364000000000004</c:v>
                </c:pt>
                <c:pt idx="37" formatCode="General">
                  <c:v>60.639000000000003</c:v>
                </c:pt>
                <c:pt idx="38" formatCode="General">
                  <c:v>60.991</c:v>
                </c:pt>
                <c:pt idx="39" formatCode="General">
                  <c:v>59.63</c:v>
                </c:pt>
                <c:pt idx="40" formatCode="General">
                  <c:v>59.15</c:v>
                </c:pt>
                <c:pt idx="41" formatCode="General">
                  <c:v>59.08</c:v>
                </c:pt>
                <c:pt idx="42" formatCode="General">
                  <c:v>58.879999999999995</c:v>
                </c:pt>
                <c:pt idx="43" formatCode="General">
                  <c:v>58.68</c:v>
                </c:pt>
                <c:pt idx="44" formatCode="General">
                  <c:v>59.08</c:v>
                </c:pt>
                <c:pt idx="45" formatCode="General">
                  <c:v>58.98</c:v>
                </c:pt>
                <c:pt idx="46" formatCode="General">
                  <c:v>60.47</c:v>
                </c:pt>
                <c:pt idx="47" formatCode="General">
                  <c:v>61.5</c:v>
                </c:pt>
                <c:pt idx="48" formatCode="General">
                  <c:v>61.91</c:v>
                </c:pt>
                <c:pt idx="49" formatCode="General">
                  <c:v>62.82</c:v>
                </c:pt>
              </c:numCache>
            </c:numRef>
          </c:val>
          <c:smooth val="0"/>
        </c:ser>
        <c:dLbls>
          <c:showLegendKey val="0"/>
          <c:showVal val="0"/>
          <c:showCatName val="0"/>
          <c:showSerName val="0"/>
          <c:showPercent val="0"/>
          <c:showBubbleSize val="0"/>
        </c:dLbls>
        <c:marker val="1"/>
        <c:smooth val="0"/>
        <c:axId val="127235200"/>
        <c:axId val="127236736"/>
      </c:lineChart>
      <c:catAx>
        <c:axId val="127235200"/>
        <c:scaling>
          <c:orientation val="minMax"/>
        </c:scaling>
        <c:delete val="0"/>
        <c:axPos val="b"/>
        <c:numFmt formatCode="General" sourceLinked="1"/>
        <c:majorTickMark val="out"/>
        <c:minorTickMark val="none"/>
        <c:tickLblPos val="nextTo"/>
        <c:crossAx val="127236736"/>
        <c:crosses val="autoZero"/>
        <c:auto val="1"/>
        <c:lblAlgn val="ctr"/>
        <c:lblOffset val="100"/>
        <c:noMultiLvlLbl val="0"/>
      </c:catAx>
      <c:valAx>
        <c:axId val="127236736"/>
        <c:scaling>
          <c:orientation val="minMax"/>
          <c:max val="80"/>
          <c:min val="50"/>
        </c:scaling>
        <c:delete val="0"/>
        <c:axPos val="l"/>
        <c:majorGridlines/>
        <c:numFmt formatCode="General" sourceLinked="1"/>
        <c:majorTickMark val="out"/>
        <c:minorTickMark val="none"/>
        <c:tickLblPos val="nextTo"/>
        <c:crossAx val="12723520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100"/>
              <a:t>Contribution to life</a:t>
            </a:r>
            <a:r>
              <a:rPr lang="en-GB" sz="1100" baseline="0"/>
              <a:t> expectancy by cause </a:t>
            </a:r>
          </a:p>
          <a:p>
            <a:pPr>
              <a:defRPr/>
            </a:pPr>
            <a:r>
              <a:rPr lang="en-GB" sz="1100" baseline="0"/>
              <a:t>between 1990 and 2010 in CIS countries (males); </a:t>
            </a:r>
          </a:p>
          <a:p>
            <a:pPr>
              <a:defRPr/>
            </a:pPr>
            <a:r>
              <a:rPr lang="en-GB" sz="1100" baseline="0"/>
              <a:t>total change -0.1 years</a:t>
            </a:r>
            <a:endParaRPr lang="en-GB" sz="1100"/>
          </a:p>
        </c:rich>
      </c:tx>
      <c:overlay val="0"/>
    </c:title>
    <c:autoTitleDeleted val="0"/>
    <c:plotArea>
      <c:layout>
        <c:manualLayout>
          <c:layoutTarget val="inner"/>
          <c:xMode val="edge"/>
          <c:yMode val="edge"/>
          <c:x val="0.16419894392043399"/>
          <c:y val="0.44242152681012176"/>
          <c:w val="0.7998205870096341"/>
          <c:h val="0.41007936845613524"/>
        </c:manualLayout>
      </c:layout>
      <c:barChart>
        <c:barDir val="col"/>
        <c:grouping val="stacked"/>
        <c:varyColors val="0"/>
        <c:ser>
          <c:idx val="0"/>
          <c:order val="0"/>
          <c:tx>
            <c:strRef>
              <c:f>Fig.2!$N$1</c:f>
              <c:strCache>
                <c:ptCount val="1"/>
                <c:pt idx="0">
                  <c:v>CVD</c:v>
                </c:pt>
              </c:strCache>
            </c:strRef>
          </c:tx>
          <c:spPr>
            <a:solidFill>
              <a:srgbClr val="FF0000"/>
            </a:solidFill>
          </c:spPr>
          <c:invertIfNegative val="0"/>
          <c:cat>
            <c:strRef>
              <c:f>Fig.2!$M$2:$M$20</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Fig.2!$N$2:$N$20</c:f>
              <c:numCache>
                <c:formatCode>0.00</c:formatCode>
                <c:ptCount val="19"/>
                <c:pt idx="0">
                  <c:v>-3.9442695081699716E-3</c:v>
                </c:pt>
                <c:pt idx="1">
                  <c:v>-2.5672642928637299E-3</c:v>
                </c:pt>
                <c:pt idx="2">
                  <c:v>-8.4517571591184563E-4</c:v>
                </c:pt>
                <c:pt idx="3">
                  <c:v>-1.1331445344050541E-3</c:v>
                </c:pt>
                <c:pt idx="4">
                  <c:v>2.3236958000305793E-3</c:v>
                </c:pt>
                <c:pt idx="5">
                  <c:v>-6.7889268159012561E-3</c:v>
                </c:pt>
                <c:pt idx="6">
                  <c:v>-2.9954208428581246E-2</c:v>
                </c:pt>
                <c:pt idx="7">
                  <c:v>-5.7331581468584684E-2</c:v>
                </c:pt>
                <c:pt idx="8">
                  <c:v>-5.1063638680859148E-2</c:v>
                </c:pt>
                <c:pt idx="9">
                  <c:v>-3.5935830943952606E-2</c:v>
                </c:pt>
                <c:pt idx="10">
                  <c:v>-4.2534585376117089E-2</c:v>
                </c:pt>
                <c:pt idx="11">
                  <c:v>-0.10299746777121807</c:v>
                </c:pt>
                <c:pt idx="12">
                  <c:v>-0.1383171183409172</c:v>
                </c:pt>
                <c:pt idx="13">
                  <c:v>-0.23543876277967221</c:v>
                </c:pt>
                <c:pt idx="14">
                  <c:v>-9.5575629211673313E-2</c:v>
                </c:pt>
                <c:pt idx="15">
                  <c:v>-0.13444369362386621</c:v>
                </c:pt>
                <c:pt idx="16">
                  <c:v>-4.2503146947431361E-2</c:v>
                </c:pt>
                <c:pt idx="17">
                  <c:v>-2.6237952094208691E-2</c:v>
                </c:pt>
                <c:pt idx="18">
                  <c:v>6.1929616285557165E-3</c:v>
                </c:pt>
              </c:numCache>
            </c:numRef>
          </c:val>
        </c:ser>
        <c:ser>
          <c:idx val="1"/>
          <c:order val="1"/>
          <c:tx>
            <c:strRef>
              <c:f>Fig.2!$O$1</c:f>
              <c:strCache>
                <c:ptCount val="1"/>
                <c:pt idx="0">
                  <c:v>cancer</c:v>
                </c:pt>
              </c:strCache>
            </c:strRef>
          </c:tx>
          <c:spPr>
            <a:solidFill>
              <a:srgbClr val="FFC000"/>
            </a:solidFill>
          </c:spPr>
          <c:invertIfNegative val="0"/>
          <c:cat>
            <c:strRef>
              <c:f>Fig.2!$M$2:$M$20</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Fig.2!$O$2:$O$20</c:f>
              <c:numCache>
                <c:formatCode>0.00</c:formatCode>
                <c:ptCount val="19"/>
                <c:pt idx="0">
                  <c:v>1.9840706134857267E-3</c:v>
                </c:pt>
                <c:pt idx="1">
                  <c:v>7.6798956065392806E-3</c:v>
                </c:pt>
                <c:pt idx="2">
                  <c:v>9.4898754619540879E-3</c:v>
                </c:pt>
                <c:pt idx="3">
                  <c:v>4.9005336945594112E-3</c:v>
                </c:pt>
                <c:pt idx="4">
                  <c:v>7.9546660845054747E-3</c:v>
                </c:pt>
                <c:pt idx="5">
                  <c:v>6.6007217524375805E-3</c:v>
                </c:pt>
                <c:pt idx="6">
                  <c:v>5.2943413913002476E-3</c:v>
                </c:pt>
                <c:pt idx="7">
                  <c:v>6.4442436138974317E-3</c:v>
                </c:pt>
                <c:pt idx="8">
                  <c:v>1.8668587133986204E-2</c:v>
                </c:pt>
                <c:pt idx="9">
                  <c:v>4.4605841699632047E-2</c:v>
                </c:pt>
                <c:pt idx="10">
                  <c:v>8.9648350288962689E-2</c:v>
                </c:pt>
                <c:pt idx="11">
                  <c:v>9.5392076155176225E-2</c:v>
                </c:pt>
                <c:pt idx="12">
                  <c:v>8.5675436627972598E-2</c:v>
                </c:pt>
                <c:pt idx="13">
                  <c:v>4.8802231320404517E-2</c:v>
                </c:pt>
                <c:pt idx="14">
                  <c:v>7.3803855310047906E-2</c:v>
                </c:pt>
                <c:pt idx="15">
                  <c:v>2.2651839850122719E-2</c:v>
                </c:pt>
                <c:pt idx="16">
                  <c:v>2.0174241858186798E-2</c:v>
                </c:pt>
                <c:pt idx="17">
                  <c:v>-5.0297818035638184E-3</c:v>
                </c:pt>
                <c:pt idx="18">
                  <c:v>-5.1656333527680693E-3</c:v>
                </c:pt>
              </c:numCache>
            </c:numRef>
          </c:val>
        </c:ser>
        <c:ser>
          <c:idx val="2"/>
          <c:order val="2"/>
          <c:tx>
            <c:strRef>
              <c:f>Fig.2!$P$1</c:f>
              <c:strCache>
                <c:ptCount val="1"/>
                <c:pt idx="0">
                  <c:v>external</c:v>
                </c:pt>
              </c:strCache>
            </c:strRef>
          </c:tx>
          <c:spPr>
            <a:solidFill>
              <a:schemeClr val="tx2">
                <a:lumMod val="75000"/>
              </a:schemeClr>
            </a:solidFill>
          </c:spPr>
          <c:invertIfNegative val="0"/>
          <c:cat>
            <c:strRef>
              <c:f>Fig.2!$M$2:$M$20</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Fig.2!$P$2:$P$20</c:f>
              <c:numCache>
                <c:formatCode>0.00</c:formatCode>
                <c:ptCount val="19"/>
                <c:pt idx="0">
                  <c:v>2.2525656686992031E-2</c:v>
                </c:pt>
                <c:pt idx="1">
                  <c:v>6.3190077533850322E-2</c:v>
                </c:pt>
                <c:pt idx="2">
                  <c:v>6.1933840448029166E-2</c:v>
                </c:pt>
                <c:pt idx="3">
                  <c:v>4.0442372524538854E-2</c:v>
                </c:pt>
                <c:pt idx="4">
                  <c:v>7.7924470451036468E-2</c:v>
                </c:pt>
                <c:pt idx="5">
                  <c:v>7.6461767334875017E-2</c:v>
                </c:pt>
                <c:pt idx="6">
                  <c:v>3.8338913860151654E-2</c:v>
                </c:pt>
                <c:pt idx="7">
                  <c:v>1.5160563915020403E-2</c:v>
                </c:pt>
                <c:pt idx="8">
                  <c:v>2.506409113223464E-2</c:v>
                </c:pt>
                <c:pt idx="9">
                  <c:v>2.3538006734615171E-2</c:v>
                </c:pt>
                <c:pt idx="10">
                  <c:v>2.373761090923255E-2</c:v>
                </c:pt>
                <c:pt idx="11">
                  <c:v>-1.0881557473154321E-2</c:v>
                </c:pt>
                <c:pt idx="12">
                  <c:v>-2.8985967535906404E-2</c:v>
                </c:pt>
                <c:pt idx="13">
                  <c:v>-3.8164067739724493E-2</c:v>
                </c:pt>
                <c:pt idx="14">
                  <c:v>-9.6621656140398228E-3</c:v>
                </c:pt>
                <c:pt idx="15">
                  <c:v>-9.6664796115624244E-3</c:v>
                </c:pt>
                <c:pt idx="16">
                  <c:v>-6.1290035936021226E-4</c:v>
                </c:pt>
                <c:pt idx="17">
                  <c:v>5.6993804375346914E-4</c:v>
                </c:pt>
                <c:pt idx="18">
                  <c:v>2.3381654281178581E-3</c:v>
                </c:pt>
              </c:numCache>
            </c:numRef>
          </c:val>
        </c:ser>
        <c:ser>
          <c:idx val="3"/>
          <c:order val="3"/>
          <c:tx>
            <c:strRef>
              <c:f>Fig.2!$Q$1</c:f>
              <c:strCache>
                <c:ptCount val="1"/>
                <c:pt idx="0">
                  <c:v>Respiratory</c:v>
                </c:pt>
              </c:strCache>
            </c:strRef>
          </c:tx>
          <c:spPr>
            <a:solidFill>
              <a:schemeClr val="accent5">
                <a:lumMod val="60000"/>
                <a:lumOff val="40000"/>
              </a:schemeClr>
            </a:solidFill>
          </c:spPr>
          <c:invertIfNegative val="0"/>
          <c:cat>
            <c:strRef>
              <c:f>Fig.2!$M$2:$M$20</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Fig.2!$Q$2:$Q$20</c:f>
              <c:numCache>
                <c:formatCode>0.00</c:formatCode>
                <c:ptCount val="19"/>
                <c:pt idx="0">
                  <c:v>0.29224764100522133</c:v>
                </c:pt>
                <c:pt idx="1">
                  <c:v>8.7277578786084067E-2</c:v>
                </c:pt>
                <c:pt idx="2">
                  <c:v>3.1878736344412026E-3</c:v>
                </c:pt>
                <c:pt idx="3">
                  <c:v>6.2424989923704941E-4</c:v>
                </c:pt>
                <c:pt idx="4">
                  <c:v>2.0386443345072314E-3</c:v>
                </c:pt>
                <c:pt idx="5">
                  <c:v>-1.7523697997401057E-3</c:v>
                </c:pt>
                <c:pt idx="6">
                  <c:v>-1.501961494590544E-2</c:v>
                </c:pt>
                <c:pt idx="7">
                  <c:v>-2.8543304382318346E-2</c:v>
                </c:pt>
                <c:pt idx="8">
                  <c:v>-2.8954216288924816E-2</c:v>
                </c:pt>
                <c:pt idx="9">
                  <c:v>-2.3511076368376932E-2</c:v>
                </c:pt>
                <c:pt idx="10">
                  <c:v>-1.0106880997207485E-2</c:v>
                </c:pt>
                <c:pt idx="11">
                  <c:v>-3.9641542218855968E-3</c:v>
                </c:pt>
                <c:pt idx="12">
                  <c:v>1.8990289410700478E-2</c:v>
                </c:pt>
                <c:pt idx="13">
                  <c:v>2.5906130220450001E-2</c:v>
                </c:pt>
                <c:pt idx="14">
                  <c:v>4.5995950266893001E-2</c:v>
                </c:pt>
                <c:pt idx="15">
                  <c:v>3.8336403521807803E-2</c:v>
                </c:pt>
                <c:pt idx="16">
                  <c:v>3.453924741360289E-2</c:v>
                </c:pt>
                <c:pt idx="17">
                  <c:v>2.3436755778317712E-2</c:v>
                </c:pt>
                <c:pt idx="18">
                  <c:v>1.835939295494466E-2</c:v>
                </c:pt>
              </c:numCache>
            </c:numRef>
          </c:val>
        </c:ser>
        <c:ser>
          <c:idx val="4"/>
          <c:order val="4"/>
          <c:tx>
            <c:strRef>
              <c:f>Fig.2!$R$1</c:f>
              <c:strCache>
                <c:ptCount val="1"/>
                <c:pt idx="0">
                  <c:v>Digestive</c:v>
                </c:pt>
              </c:strCache>
            </c:strRef>
          </c:tx>
          <c:spPr>
            <a:solidFill>
              <a:schemeClr val="accent3">
                <a:lumMod val="50000"/>
              </a:schemeClr>
            </a:solidFill>
          </c:spPr>
          <c:invertIfNegative val="0"/>
          <c:cat>
            <c:strRef>
              <c:f>Fig.2!$M$2:$M$20</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Fig.2!$R$2:$R$20</c:f>
              <c:numCache>
                <c:formatCode>0.00</c:formatCode>
                <c:ptCount val="19"/>
                <c:pt idx="0">
                  <c:v>9.6464097354567908E-3</c:v>
                </c:pt>
                <c:pt idx="1">
                  <c:v>2.5221922736830002E-3</c:v>
                </c:pt>
                <c:pt idx="2">
                  <c:v>8.6691800802778508E-4</c:v>
                </c:pt>
                <c:pt idx="3">
                  <c:v>8.3345823549438422E-4</c:v>
                </c:pt>
                <c:pt idx="4">
                  <c:v>-5.3256532796137977E-4</c:v>
                </c:pt>
                <c:pt idx="5">
                  <c:v>-8.3054486428093283E-3</c:v>
                </c:pt>
                <c:pt idx="6">
                  <c:v>-2.9442347761447822E-2</c:v>
                </c:pt>
                <c:pt idx="7">
                  <c:v>-5.5509707467504686E-2</c:v>
                </c:pt>
                <c:pt idx="8">
                  <c:v>-6.3447324253494683E-2</c:v>
                </c:pt>
                <c:pt idx="9">
                  <c:v>-6.2250973941435486E-2</c:v>
                </c:pt>
                <c:pt idx="10">
                  <c:v>-5.4186729072309321E-2</c:v>
                </c:pt>
                <c:pt idx="11">
                  <c:v>-5.3573081879606535E-2</c:v>
                </c:pt>
                <c:pt idx="12">
                  <c:v>-4.7959881487597382E-2</c:v>
                </c:pt>
                <c:pt idx="13">
                  <c:v>-4.225313001447796E-2</c:v>
                </c:pt>
                <c:pt idx="14">
                  <c:v>-9.1431998734317448E-3</c:v>
                </c:pt>
                <c:pt idx="15">
                  <c:v>-7.3731059949169089E-3</c:v>
                </c:pt>
                <c:pt idx="16">
                  <c:v>6.0493588430690917E-5</c:v>
                </c:pt>
                <c:pt idx="17">
                  <c:v>-7.6205998641533531E-4</c:v>
                </c:pt>
                <c:pt idx="18">
                  <c:v>-1.6368314087526149E-4</c:v>
                </c:pt>
              </c:numCache>
            </c:numRef>
          </c:val>
        </c:ser>
        <c:ser>
          <c:idx val="5"/>
          <c:order val="5"/>
          <c:tx>
            <c:strRef>
              <c:f>Fig.2!$S$1</c:f>
              <c:strCache>
                <c:ptCount val="1"/>
                <c:pt idx="0">
                  <c:v>infectious</c:v>
                </c:pt>
              </c:strCache>
            </c:strRef>
          </c:tx>
          <c:invertIfNegative val="0"/>
          <c:cat>
            <c:strRef>
              <c:f>Fig.2!$M$2:$M$20</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Fig.2!$S$2:$S$20</c:f>
              <c:numCache>
                <c:formatCode>0.00</c:formatCode>
                <c:ptCount val="19"/>
                <c:pt idx="0">
                  <c:v>0.15396313939149908</c:v>
                </c:pt>
                <c:pt idx="1">
                  <c:v>4.7922952252753323E-2</c:v>
                </c:pt>
                <c:pt idx="2">
                  <c:v>3.3394149015008906E-3</c:v>
                </c:pt>
                <c:pt idx="3">
                  <c:v>1.4509024043109005E-3</c:v>
                </c:pt>
                <c:pt idx="4">
                  <c:v>-1.772104465008611E-4</c:v>
                </c:pt>
                <c:pt idx="5">
                  <c:v>-1.1211782566945886E-2</c:v>
                </c:pt>
                <c:pt idx="6">
                  <c:v>-4.7308917011402066E-2</c:v>
                </c:pt>
                <c:pt idx="7">
                  <c:v>-8.6608743807843197E-2</c:v>
                </c:pt>
                <c:pt idx="8">
                  <c:v>-6.2046144679100787E-2</c:v>
                </c:pt>
                <c:pt idx="9">
                  <c:v>-4.0498646074129313E-2</c:v>
                </c:pt>
                <c:pt idx="10">
                  <c:v>-2.152235253143692E-2</c:v>
                </c:pt>
                <c:pt idx="11">
                  <c:v>-1.6216139552145205E-2</c:v>
                </c:pt>
                <c:pt idx="12">
                  <c:v>-9.1196757551258705E-3</c:v>
                </c:pt>
                <c:pt idx="13">
                  <c:v>-2.2144780899165614E-3</c:v>
                </c:pt>
                <c:pt idx="14">
                  <c:v>2.0364672532934653E-3</c:v>
                </c:pt>
                <c:pt idx="15">
                  <c:v>1.9228606589872872E-3</c:v>
                </c:pt>
                <c:pt idx="16">
                  <c:v>1.0694569973202564E-3</c:v>
                </c:pt>
                <c:pt idx="17">
                  <c:v>6.7034175690459767E-4</c:v>
                </c:pt>
                <c:pt idx="18">
                  <c:v>3.5140361048203918E-4</c:v>
                </c:pt>
              </c:numCache>
            </c:numRef>
          </c:val>
        </c:ser>
        <c:ser>
          <c:idx val="6"/>
          <c:order val="6"/>
          <c:tx>
            <c:strRef>
              <c:f>Fig.2!$T$1</c:f>
              <c:strCache>
                <c:ptCount val="1"/>
                <c:pt idx="0">
                  <c:v>other</c:v>
                </c:pt>
              </c:strCache>
            </c:strRef>
          </c:tx>
          <c:spPr>
            <a:solidFill>
              <a:schemeClr val="bg1">
                <a:lumMod val="65000"/>
              </a:schemeClr>
            </a:solidFill>
          </c:spPr>
          <c:invertIfNegative val="0"/>
          <c:cat>
            <c:strRef>
              <c:f>Fig.2!$M$2:$M$20</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Fig.2!$T$2:$T$20</c:f>
              <c:numCache>
                <c:formatCode>0.00</c:formatCode>
                <c:ptCount val="19"/>
                <c:pt idx="0">
                  <c:v>0.28621914305397983</c:v>
                </c:pt>
                <c:pt idx="1">
                  <c:v>2.4788858325079956E-2</c:v>
                </c:pt>
                <c:pt idx="2">
                  <c:v>4.2879009302833303E-3</c:v>
                </c:pt>
                <c:pt idx="3">
                  <c:v>2.1392268982803426E-3</c:v>
                </c:pt>
                <c:pt idx="4">
                  <c:v>1.8816545962069492E-3</c:v>
                </c:pt>
                <c:pt idx="5">
                  <c:v>-6.742839341278388E-3</c:v>
                </c:pt>
                <c:pt idx="6">
                  <c:v>-2.9577633510631005E-2</c:v>
                </c:pt>
                <c:pt idx="7">
                  <c:v>-4.6971556940953681E-2</c:v>
                </c:pt>
                <c:pt idx="8">
                  <c:v>-4.8827070160517037E-2</c:v>
                </c:pt>
                <c:pt idx="9">
                  <c:v>-4.1210796214265683E-2</c:v>
                </c:pt>
                <c:pt idx="10">
                  <c:v>-3.5638296688017781E-2</c:v>
                </c:pt>
                <c:pt idx="11">
                  <c:v>-4.2836236464581706E-2</c:v>
                </c:pt>
                <c:pt idx="12">
                  <c:v>-4.2054378125645324E-2</c:v>
                </c:pt>
                <c:pt idx="13">
                  <c:v>-4.3412695093665833E-2</c:v>
                </c:pt>
                <c:pt idx="14">
                  <c:v>-2.1479219585400212E-2</c:v>
                </c:pt>
                <c:pt idx="15">
                  <c:v>-1.0426444457940644E-2</c:v>
                </c:pt>
                <c:pt idx="16">
                  <c:v>3.7086921611153515E-3</c:v>
                </c:pt>
                <c:pt idx="17">
                  <c:v>4.8126852086570341E-4</c:v>
                </c:pt>
                <c:pt idx="18">
                  <c:v>1.518264254263218E-2</c:v>
                </c:pt>
              </c:numCache>
            </c:numRef>
          </c:val>
        </c:ser>
        <c:dLbls>
          <c:showLegendKey val="0"/>
          <c:showVal val="0"/>
          <c:showCatName val="0"/>
          <c:showSerName val="0"/>
          <c:showPercent val="0"/>
          <c:showBubbleSize val="0"/>
        </c:dLbls>
        <c:gapWidth val="30"/>
        <c:overlap val="100"/>
        <c:axId val="165883264"/>
        <c:axId val="165893632"/>
      </c:barChart>
      <c:catAx>
        <c:axId val="165883264"/>
        <c:scaling>
          <c:orientation val="minMax"/>
        </c:scaling>
        <c:delete val="0"/>
        <c:axPos val="b"/>
        <c:title>
          <c:tx>
            <c:rich>
              <a:bodyPr/>
              <a:lstStyle/>
              <a:p>
                <a:pPr>
                  <a:defRPr/>
                </a:pPr>
                <a:r>
                  <a:rPr lang="en-GB"/>
                  <a:t>age groups</a:t>
                </a:r>
              </a:p>
            </c:rich>
          </c:tx>
          <c:overlay val="0"/>
        </c:title>
        <c:numFmt formatCode="General" sourceLinked="1"/>
        <c:majorTickMark val="out"/>
        <c:minorTickMark val="none"/>
        <c:tickLblPos val="high"/>
        <c:crossAx val="165893632"/>
        <c:crosses val="autoZero"/>
        <c:auto val="1"/>
        <c:lblAlgn val="ctr"/>
        <c:lblOffset val="100"/>
        <c:noMultiLvlLbl val="0"/>
      </c:catAx>
      <c:valAx>
        <c:axId val="165893632"/>
        <c:scaling>
          <c:orientation val="minMax"/>
          <c:max val="0.8"/>
          <c:min val="-0.30000000000000032"/>
        </c:scaling>
        <c:delete val="0"/>
        <c:axPos val="l"/>
        <c:title>
          <c:tx>
            <c:rich>
              <a:bodyPr rot="-5400000" vert="horz"/>
              <a:lstStyle/>
              <a:p>
                <a:pPr>
                  <a:defRPr/>
                </a:pPr>
                <a:r>
                  <a:rPr lang="en-GB"/>
                  <a:t>yearss</a:t>
                </a:r>
              </a:p>
            </c:rich>
          </c:tx>
          <c:overlay val="0"/>
        </c:title>
        <c:numFmt formatCode="0.0" sourceLinked="0"/>
        <c:majorTickMark val="out"/>
        <c:minorTickMark val="none"/>
        <c:tickLblPos val="nextTo"/>
        <c:txPr>
          <a:bodyPr/>
          <a:lstStyle/>
          <a:p>
            <a:pPr>
              <a:defRPr sz="900"/>
            </a:pPr>
            <a:endParaRPr lang="nl-NL"/>
          </a:p>
        </c:txPr>
        <c:crossAx val="165883264"/>
        <c:crosses val="autoZero"/>
        <c:crossBetween val="between"/>
        <c:majorUnit val="0.1"/>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100"/>
              <a:t>Contribution to life</a:t>
            </a:r>
            <a:r>
              <a:rPr lang="en-GB" sz="1100" baseline="0"/>
              <a:t> expectancy by cause </a:t>
            </a:r>
          </a:p>
          <a:p>
            <a:pPr>
              <a:defRPr/>
            </a:pPr>
            <a:r>
              <a:rPr lang="en-GB" sz="1100" baseline="0"/>
              <a:t>between 1990 and 2010 in CIS countries (females); </a:t>
            </a:r>
          </a:p>
          <a:p>
            <a:pPr>
              <a:defRPr/>
            </a:pPr>
            <a:r>
              <a:rPr lang="en-GB" sz="1100" baseline="0"/>
              <a:t>total change 0.7 years</a:t>
            </a:r>
            <a:endParaRPr lang="en-GB" sz="1100"/>
          </a:p>
        </c:rich>
      </c:tx>
      <c:overlay val="0"/>
    </c:title>
    <c:autoTitleDeleted val="0"/>
    <c:plotArea>
      <c:layout>
        <c:manualLayout>
          <c:layoutTarget val="inner"/>
          <c:xMode val="edge"/>
          <c:yMode val="edge"/>
          <c:x val="0.15377855786582645"/>
          <c:y val="0.43777806996347002"/>
          <c:w val="0.65073740145676862"/>
          <c:h val="0.41438998734915072"/>
        </c:manualLayout>
      </c:layout>
      <c:barChart>
        <c:barDir val="col"/>
        <c:grouping val="stacked"/>
        <c:varyColors val="0"/>
        <c:ser>
          <c:idx val="0"/>
          <c:order val="0"/>
          <c:tx>
            <c:strRef>
              <c:f>Fig.2!$N$45</c:f>
              <c:strCache>
                <c:ptCount val="1"/>
                <c:pt idx="0">
                  <c:v>CVD</c:v>
                </c:pt>
              </c:strCache>
            </c:strRef>
          </c:tx>
          <c:spPr>
            <a:solidFill>
              <a:srgbClr val="FF0000"/>
            </a:solidFill>
          </c:spPr>
          <c:invertIfNegative val="0"/>
          <c:cat>
            <c:strRef>
              <c:f>Fig.2!$M$46:$M$64</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Fig.2!$N$46:$N$64</c:f>
              <c:numCache>
                <c:formatCode>0.00</c:formatCode>
                <c:ptCount val="19"/>
                <c:pt idx="0">
                  <c:v>-4.0104917631196123E-3</c:v>
                </c:pt>
                <c:pt idx="1">
                  <c:v>-3.1698769767415846E-3</c:v>
                </c:pt>
                <c:pt idx="2">
                  <c:v>-3.3288881519844612E-4</c:v>
                </c:pt>
                <c:pt idx="3">
                  <c:v>-1.2894231777818481E-3</c:v>
                </c:pt>
                <c:pt idx="4">
                  <c:v>2.100242733654176E-3</c:v>
                </c:pt>
                <c:pt idx="5">
                  <c:v>7.7570864589025974E-4</c:v>
                </c:pt>
                <c:pt idx="6">
                  <c:v>-1.1680030154844902E-2</c:v>
                </c:pt>
                <c:pt idx="7">
                  <c:v>-2.3903652292657469E-2</c:v>
                </c:pt>
                <c:pt idx="8">
                  <c:v>-3.0980654574665201E-2</c:v>
                </c:pt>
                <c:pt idx="9">
                  <c:v>-2.5496097674001485E-2</c:v>
                </c:pt>
                <c:pt idx="10">
                  <c:v>-7.7165809683734585E-3</c:v>
                </c:pt>
                <c:pt idx="11">
                  <c:v>-8.0630742335621279E-3</c:v>
                </c:pt>
                <c:pt idx="12">
                  <c:v>-7.1641744753853055E-3</c:v>
                </c:pt>
                <c:pt idx="13">
                  <c:v>-4.0487950421803982E-2</c:v>
                </c:pt>
                <c:pt idx="14">
                  <c:v>5.2039016505084378E-2</c:v>
                </c:pt>
                <c:pt idx="15">
                  <c:v>6.4637973663698497E-3</c:v>
                </c:pt>
                <c:pt idx="16">
                  <c:v>1.2435026681900095E-2</c:v>
                </c:pt>
                <c:pt idx="17">
                  <c:v>5.1151678294882475E-3</c:v>
                </c:pt>
                <c:pt idx="18">
                  <c:v>-5.1755977907528825E-2</c:v>
                </c:pt>
              </c:numCache>
            </c:numRef>
          </c:val>
        </c:ser>
        <c:ser>
          <c:idx val="1"/>
          <c:order val="1"/>
          <c:tx>
            <c:strRef>
              <c:f>Fig.2!$O$45</c:f>
              <c:strCache>
                <c:ptCount val="1"/>
                <c:pt idx="0">
                  <c:v>cancer</c:v>
                </c:pt>
              </c:strCache>
            </c:strRef>
          </c:tx>
          <c:spPr>
            <a:solidFill>
              <a:srgbClr val="FFC000"/>
            </a:solidFill>
          </c:spPr>
          <c:invertIfNegative val="0"/>
          <c:cat>
            <c:strRef>
              <c:f>Fig.2!$M$46:$M$64</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Fig.2!$O$46:$O$64</c:f>
              <c:numCache>
                <c:formatCode>0.00</c:formatCode>
                <c:ptCount val="19"/>
                <c:pt idx="0">
                  <c:v>2.6301157247935842E-3</c:v>
                </c:pt>
                <c:pt idx="1">
                  <c:v>7.9133701822330354E-3</c:v>
                </c:pt>
                <c:pt idx="2">
                  <c:v>6.4954234451138938E-3</c:v>
                </c:pt>
                <c:pt idx="3">
                  <c:v>5.0282239723954585E-3</c:v>
                </c:pt>
                <c:pt idx="4">
                  <c:v>6.0486658121807792E-3</c:v>
                </c:pt>
                <c:pt idx="5">
                  <c:v>4.6036183091198333E-3</c:v>
                </c:pt>
                <c:pt idx="6">
                  <c:v>5.3188379243986139E-3</c:v>
                </c:pt>
                <c:pt idx="7">
                  <c:v>3.2348235478314833E-3</c:v>
                </c:pt>
                <c:pt idx="8">
                  <c:v>1.0238052794675542E-2</c:v>
                </c:pt>
                <c:pt idx="9">
                  <c:v>2.4775408398341477E-2</c:v>
                </c:pt>
                <c:pt idx="10">
                  <c:v>3.7554573775342354E-2</c:v>
                </c:pt>
                <c:pt idx="11">
                  <c:v>2.1239320236083808E-2</c:v>
                </c:pt>
                <c:pt idx="12">
                  <c:v>1.1887038338965648E-2</c:v>
                </c:pt>
                <c:pt idx="13">
                  <c:v>-4.0144540065716371E-3</c:v>
                </c:pt>
                <c:pt idx="14">
                  <c:v>6.0445698207465336E-2</c:v>
                </c:pt>
                <c:pt idx="15">
                  <c:v>2.0726051023364431E-2</c:v>
                </c:pt>
                <c:pt idx="16">
                  <c:v>1.8808755047152247E-2</c:v>
                </c:pt>
                <c:pt idx="17">
                  <c:v>-1.5984224340180406E-3</c:v>
                </c:pt>
                <c:pt idx="18">
                  <c:v>-8.9225380979037726E-3</c:v>
                </c:pt>
              </c:numCache>
            </c:numRef>
          </c:val>
        </c:ser>
        <c:ser>
          <c:idx val="2"/>
          <c:order val="2"/>
          <c:tx>
            <c:strRef>
              <c:f>Fig.2!$P$45</c:f>
              <c:strCache>
                <c:ptCount val="1"/>
                <c:pt idx="0">
                  <c:v>external</c:v>
                </c:pt>
              </c:strCache>
            </c:strRef>
          </c:tx>
          <c:spPr>
            <a:solidFill>
              <a:schemeClr val="tx2">
                <a:lumMod val="75000"/>
              </a:schemeClr>
            </a:solidFill>
          </c:spPr>
          <c:invertIfNegative val="0"/>
          <c:cat>
            <c:strRef>
              <c:f>Fig.2!$M$46:$M$64</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Fig.2!$P$46:$P$64</c:f>
              <c:numCache>
                <c:formatCode>0.00</c:formatCode>
                <c:ptCount val="19"/>
                <c:pt idx="0">
                  <c:v>2.0874576637770377E-2</c:v>
                </c:pt>
                <c:pt idx="1">
                  <c:v>5.0306383195123171E-2</c:v>
                </c:pt>
                <c:pt idx="2">
                  <c:v>2.2723329953820592E-2</c:v>
                </c:pt>
                <c:pt idx="3">
                  <c:v>4.732361838461558E-3</c:v>
                </c:pt>
                <c:pt idx="4">
                  <c:v>1.9335084395088346E-2</c:v>
                </c:pt>
                <c:pt idx="5">
                  <c:v>1.962553148553905E-3</c:v>
                </c:pt>
                <c:pt idx="6">
                  <c:v>-1.5805508654263396E-2</c:v>
                </c:pt>
                <c:pt idx="7">
                  <c:v>-1.7921606977397992E-2</c:v>
                </c:pt>
                <c:pt idx="8">
                  <c:v>-9.4946434032183204E-3</c:v>
                </c:pt>
                <c:pt idx="9">
                  <c:v>1.1326009375210147E-3</c:v>
                </c:pt>
                <c:pt idx="10">
                  <c:v>1.3714654521356517E-2</c:v>
                </c:pt>
                <c:pt idx="11">
                  <c:v>4.8546658202987284E-3</c:v>
                </c:pt>
                <c:pt idx="12">
                  <c:v>-3.9209785569623368E-3</c:v>
                </c:pt>
                <c:pt idx="13">
                  <c:v>-4.2659056049557395E-3</c:v>
                </c:pt>
                <c:pt idx="14">
                  <c:v>5.2145632675563783E-3</c:v>
                </c:pt>
                <c:pt idx="15">
                  <c:v>4.0241976870338562E-3</c:v>
                </c:pt>
                <c:pt idx="16">
                  <c:v>5.5727385668984065E-3</c:v>
                </c:pt>
                <c:pt idx="17">
                  <c:v>3.1260314344663601E-3</c:v>
                </c:pt>
                <c:pt idx="18">
                  <c:v>1.3378074621636395E-3</c:v>
                </c:pt>
              </c:numCache>
            </c:numRef>
          </c:val>
        </c:ser>
        <c:ser>
          <c:idx val="3"/>
          <c:order val="3"/>
          <c:tx>
            <c:strRef>
              <c:f>Fig.2!$Q$45</c:f>
              <c:strCache>
                <c:ptCount val="1"/>
                <c:pt idx="0">
                  <c:v>Respiratory</c:v>
                </c:pt>
              </c:strCache>
            </c:strRef>
          </c:tx>
          <c:spPr>
            <a:solidFill>
              <a:schemeClr val="accent5">
                <a:lumMod val="60000"/>
                <a:lumOff val="40000"/>
              </a:schemeClr>
            </a:solidFill>
          </c:spPr>
          <c:invertIfNegative val="0"/>
          <c:cat>
            <c:strRef>
              <c:f>Fig.2!$M$46:$M$64</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Fig.2!$Q$46:$Q$64</c:f>
              <c:numCache>
                <c:formatCode>0.00</c:formatCode>
                <c:ptCount val="19"/>
                <c:pt idx="0">
                  <c:v>0.27890625760151966</c:v>
                </c:pt>
                <c:pt idx="1">
                  <c:v>8.8357344417150097E-2</c:v>
                </c:pt>
                <c:pt idx="2">
                  <c:v>3.2329800241530011E-3</c:v>
                </c:pt>
                <c:pt idx="3">
                  <c:v>5.2023217452115602E-4</c:v>
                </c:pt>
                <c:pt idx="4">
                  <c:v>1.5133054783438113E-3</c:v>
                </c:pt>
                <c:pt idx="5">
                  <c:v>-8.4230700518379766E-4</c:v>
                </c:pt>
                <c:pt idx="6">
                  <c:v>-5.9611308560774869E-3</c:v>
                </c:pt>
                <c:pt idx="7">
                  <c:v>-1.106195285947649E-2</c:v>
                </c:pt>
                <c:pt idx="8">
                  <c:v>-9.5473209791181318E-3</c:v>
                </c:pt>
                <c:pt idx="9">
                  <c:v>-7.8955167403364085E-3</c:v>
                </c:pt>
                <c:pt idx="10">
                  <c:v>-1.974594967128583E-3</c:v>
                </c:pt>
                <c:pt idx="11">
                  <c:v>3.2192712052588695E-3</c:v>
                </c:pt>
                <c:pt idx="12">
                  <c:v>1.2036824647237973E-2</c:v>
                </c:pt>
                <c:pt idx="13">
                  <c:v>1.7775133975384896E-2</c:v>
                </c:pt>
                <c:pt idx="14">
                  <c:v>3.0158346228372681E-2</c:v>
                </c:pt>
                <c:pt idx="15">
                  <c:v>3.6659200073995583E-2</c:v>
                </c:pt>
                <c:pt idx="16">
                  <c:v>3.4759107161236896E-2</c:v>
                </c:pt>
                <c:pt idx="17">
                  <c:v>2.6377764629034968E-2</c:v>
                </c:pt>
                <c:pt idx="18">
                  <c:v>3.1354097627917611E-2</c:v>
                </c:pt>
              </c:numCache>
            </c:numRef>
          </c:val>
        </c:ser>
        <c:ser>
          <c:idx val="4"/>
          <c:order val="4"/>
          <c:tx>
            <c:strRef>
              <c:f>Fig.2!$R$45</c:f>
              <c:strCache>
                <c:ptCount val="1"/>
                <c:pt idx="0">
                  <c:v>Digestive</c:v>
                </c:pt>
              </c:strCache>
            </c:strRef>
          </c:tx>
          <c:spPr>
            <a:solidFill>
              <a:schemeClr val="accent3">
                <a:lumMod val="50000"/>
              </a:schemeClr>
            </a:solidFill>
          </c:spPr>
          <c:invertIfNegative val="0"/>
          <c:cat>
            <c:strRef>
              <c:f>Fig.2!$M$46:$M$64</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Fig.2!$R$46:$R$64</c:f>
              <c:numCache>
                <c:formatCode>0.00</c:formatCode>
                <c:ptCount val="19"/>
                <c:pt idx="0">
                  <c:v>6.5389856341287978E-3</c:v>
                </c:pt>
                <c:pt idx="1">
                  <c:v>2.512600550689254E-3</c:v>
                </c:pt>
                <c:pt idx="2">
                  <c:v>1.1615199724276223E-3</c:v>
                </c:pt>
                <c:pt idx="3">
                  <c:v>1.2494209113796699E-3</c:v>
                </c:pt>
                <c:pt idx="4">
                  <c:v>4.0593378257910794E-4</c:v>
                </c:pt>
                <c:pt idx="5">
                  <c:v>-3.8993833864630202E-3</c:v>
                </c:pt>
                <c:pt idx="6">
                  <c:v>-1.6684973086742969E-2</c:v>
                </c:pt>
                <c:pt idx="7">
                  <c:v>-3.0179012070727408E-2</c:v>
                </c:pt>
                <c:pt idx="8">
                  <c:v>-3.80808961837392E-2</c:v>
                </c:pt>
                <c:pt idx="9">
                  <c:v>-3.8845166437747242E-2</c:v>
                </c:pt>
                <c:pt idx="10">
                  <c:v>-3.3599507493095461E-2</c:v>
                </c:pt>
                <c:pt idx="11">
                  <c:v>-3.8721413500392175E-2</c:v>
                </c:pt>
                <c:pt idx="12">
                  <c:v>-4.6431182947824792E-2</c:v>
                </c:pt>
                <c:pt idx="13">
                  <c:v>-3.3271108069670971E-2</c:v>
                </c:pt>
                <c:pt idx="14">
                  <c:v>-5.1098461413395845E-3</c:v>
                </c:pt>
                <c:pt idx="15">
                  <c:v>-4.5540496584153727E-3</c:v>
                </c:pt>
                <c:pt idx="16">
                  <c:v>-1.2999263746181467E-3</c:v>
                </c:pt>
                <c:pt idx="17">
                  <c:v>-2.5023274026312195E-3</c:v>
                </c:pt>
                <c:pt idx="18">
                  <c:v>-4.2653514850330811E-3</c:v>
                </c:pt>
              </c:numCache>
            </c:numRef>
          </c:val>
        </c:ser>
        <c:ser>
          <c:idx val="5"/>
          <c:order val="5"/>
          <c:tx>
            <c:strRef>
              <c:f>Fig.2!$S$45</c:f>
              <c:strCache>
                <c:ptCount val="1"/>
                <c:pt idx="0">
                  <c:v>infectious</c:v>
                </c:pt>
              </c:strCache>
            </c:strRef>
          </c:tx>
          <c:invertIfNegative val="0"/>
          <c:cat>
            <c:strRef>
              <c:f>Fig.2!$M$46:$M$64</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Fig.2!$S$46:$S$64</c:f>
              <c:numCache>
                <c:formatCode>0.00</c:formatCode>
                <c:ptCount val="19"/>
                <c:pt idx="0">
                  <c:v>0.15474721420218299</c:v>
                </c:pt>
                <c:pt idx="1">
                  <c:v>4.9470381066350877E-2</c:v>
                </c:pt>
                <c:pt idx="2">
                  <c:v>2.3727625279428982E-3</c:v>
                </c:pt>
                <c:pt idx="3">
                  <c:v>1.0151561403982439E-3</c:v>
                </c:pt>
                <c:pt idx="4">
                  <c:v>-1.3000649249963971E-4</c:v>
                </c:pt>
                <c:pt idx="5">
                  <c:v>-6.816078545012841E-3</c:v>
                </c:pt>
                <c:pt idx="6">
                  <c:v>-2.8669473507040643E-2</c:v>
                </c:pt>
                <c:pt idx="7">
                  <c:v>-3.8788785071023991E-2</c:v>
                </c:pt>
                <c:pt idx="8">
                  <c:v>-2.8257300937086432E-2</c:v>
                </c:pt>
                <c:pt idx="9">
                  <c:v>-2.0181073386457592E-2</c:v>
                </c:pt>
                <c:pt idx="10">
                  <c:v>-1.0602292426430536E-2</c:v>
                </c:pt>
                <c:pt idx="11">
                  <c:v>-5.8226922113772915E-3</c:v>
                </c:pt>
                <c:pt idx="12">
                  <c:v>-3.6645262967638492E-3</c:v>
                </c:pt>
                <c:pt idx="13">
                  <c:v>-1.6778272450765361E-3</c:v>
                </c:pt>
                <c:pt idx="14">
                  <c:v>1.1979538903896749E-4</c:v>
                </c:pt>
                <c:pt idx="15">
                  <c:v>6.9134503989778408E-4</c:v>
                </c:pt>
                <c:pt idx="16">
                  <c:v>2.6031015518425144E-4</c:v>
                </c:pt>
                <c:pt idx="17">
                  <c:v>2.5298233963999881E-4</c:v>
                </c:pt>
                <c:pt idx="18">
                  <c:v>2.3273889500785772E-4</c:v>
                </c:pt>
              </c:numCache>
            </c:numRef>
          </c:val>
        </c:ser>
        <c:ser>
          <c:idx val="6"/>
          <c:order val="6"/>
          <c:tx>
            <c:strRef>
              <c:f>Fig.2!$T$45</c:f>
              <c:strCache>
                <c:ptCount val="1"/>
                <c:pt idx="0">
                  <c:v>other</c:v>
                </c:pt>
              </c:strCache>
            </c:strRef>
          </c:tx>
          <c:spPr>
            <a:solidFill>
              <a:schemeClr val="bg1">
                <a:lumMod val="65000"/>
              </a:schemeClr>
            </a:solidFill>
          </c:spPr>
          <c:invertIfNegative val="0"/>
          <c:cat>
            <c:strRef>
              <c:f>Fig.2!$M$46:$M$64</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Fig.2!$T$46:$T$64</c:f>
              <c:numCache>
                <c:formatCode>0.00</c:formatCode>
                <c:ptCount val="19"/>
                <c:pt idx="0">
                  <c:v>0.197953325590801</c:v>
                </c:pt>
                <c:pt idx="1">
                  <c:v>2.4000334040452948E-2</c:v>
                </c:pt>
                <c:pt idx="2">
                  <c:v>5.4065818407126598E-3</c:v>
                </c:pt>
                <c:pt idx="3">
                  <c:v>1.7803379558988509E-3</c:v>
                </c:pt>
                <c:pt idx="4">
                  <c:v>6.8522381158616121E-3</c:v>
                </c:pt>
                <c:pt idx="5">
                  <c:v>1.0246020617960786E-2</c:v>
                </c:pt>
                <c:pt idx="6">
                  <c:v>-2.3209339160250452E-3</c:v>
                </c:pt>
                <c:pt idx="7">
                  <c:v>-7.0892668484022394E-3</c:v>
                </c:pt>
                <c:pt idx="8">
                  <c:v>-6.3077302865926534E-3</c:v>
                </c:pt>
                <c:pt idx="9">
                  <c:v>-7.3181603807165544E-3</c:v>
                </c:pt>
                <c:pt idx="10">
                  <c:v>1.1692550937072844E-4</c:v>
                </c:pt>
                <c:pt idx="11">
                  <c:v>-6.1797307808994046E-3</c:v>
                </c:pt>
                <c:pt idx="12">
                  <c:v>-1.0913581225705101E-2</c:v>
                </c:pt>
                <c:pt idx="13">
                  <c:v>-1.5567113280805261E-2</c:v>
                </c:pt>
                <c:pt idx="14">
                  <c:v>-5.344118201866266E-3</c:v>
                </c:pt>
                <c:pt idx="15">
                  <c:v>-2.2279608659549303E-3</c:v>
                </c:pt>
                <c:pt idx="16">
                  <c:v>7.6473229616900434E-3</c:v>
                </c:pt>
                <c:pt idx="17">
                  <c:v>-6.2803574435552232E-3</c:v>
                </c:pt>
                <c:pt idx="18">
                  <c:v>-2.0590088876918083E-2</c:v>
                </c:pt>
              </c:numCache>
            </c:numRef>
          </c:val>
        </c:ser>
        <c:dLbls>
          <c:showLegendKey val="0"/>
          <c:showVal val="0"/>
          <c:showCatName val="0"/>
          <c:showSerName val="0"/>
          <c:showPercent val="0"/>
          <c:showBubbleSize val="0"/>
        </c:dLbls>
        <c:gapWidth val="30"/>
        <c:overlap val="100"/>
        <c:axId val="165918976"/>
        <c:axId val="165921152"/>
      </c:barChart>
      <c:catAx>
        <c:axId val="165918976"/>
        <c:scaling>
          <c:orientation val="minMax"/>
        </c:scaling>
        <c:delete val="0"/>
        <c:axPos val="b"/>
        <c:title>
          <c:tx>
            <c:rich>
              <a:bodyPr/>
              <a:lstStyle/>
              <a:p>
                <a:pPr>
                  <a:defRPr/>
                </a:pPr>
                <a:r>
                  <a:rPr lang="en-GB"/>
                  <a:t>age groups</a:t>
                </a:r>
              </a:p>
            </c:rich>
          </c:tx>
          <c:overlay val="0"/>
        </c:title>
        <c:numFmt formatCode="General" sourceLinked="1"/>
        <c:majorTickMark val="out"/>
        <c:minorTickMark val="none"/>
        <c:tickLblPos val="high"/>
        <c:txPr>
          <a:bodyPr rot="-5400000" vert="horz"/>
          <a:lstStyle/>
          <a:p>
            <a:pPr>
              <a:defRPr/>
            </a:pPr>
            <a:endParaRPr lang="nl-NL"/>
          </a:p>
        </c:txPr>
        <c:crossAx val="165921152"/>
        <c:crosses val="autoZero"/>
        <c:auto val="1"/>
        <c:lblAlgn val="ctr"/>
        <c:lblOffset val="100"/>
        <c:tickLblSkip val="1"/>
        <c:noMultiLvlLbl val="0"/>
      </c:catAx>
      <c:valAx>
        <c:axId val="165921152"/>
        <c:scaling>
          <c:orientation val="minMax"/>
          <c:max val="0.8"/>
          <c:min val="-0.30000000000000032"/>
        </c:scaling>
        <c:delete val="0"/>
        <c:axPos val="l"/>
        <c:title>
          <c:tx>
            <c:rich>
              <a:bodyPr rot="-5400000" vert="horz"/>
              <a:lstStyle/>
              <a:p>
                <a:pPr>
                  <a:defRPr/>
                </a:pPr>
                <a:r>
                  <a:rPr lang="en-GB"/>
                  <a:t>years</a:t>
                </a:r>
              </a:p>
            </c:rich>
          </c:tx>
          <c:overlay val="0"/>
        </c:title>
        <c:numFmt formatCode="0.0" sourceLinked="0"/>
        <c:majorTickMark val="out"/>
        <c:minorTickMark val="none"/>
        <c:tickLblPos val="nextTo"/>
        <c:txPr>
          <a:bodyPr/>
          <a:lstStyle/>
          <a:p>
            <a:pPr>
              <a:defRPr sz="900"/>
            </a:pPr>
            <a:endParaRPr lang="nl-NL"/>
          </a:p>
        </c:txPr>
        <c:crossAx val="165918976"/>
        <c:crosses val="autoZero"/>
        <c:crossBetween val="between"/>
        <c:majorUnit val="0.1"/>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100"/>
              <a:t>Contribution to life</a:t>
            </a:r>
            <a:r>
              <a:rPr lang="en-GB" sz="1100" baseline="0"/>
              <a:t> expectancy by cause </a:t>
            </a:r>
          </a:p>
          <a:p>
            <a:pPr>
              <a:defRPr/>
            </a:pPr>
            <a:r>
              <a:rPr lang="en-GB" sz="1100" baseline="0"/>
              <a:t>between 1990 and 2010 in the EU countries (males); </a:t>
            </a:r>
          </a:p>
          <a:p>
            <a:pPr>
              <a:defRPr/>
            </a:pPr>
            <a:r>
              <a:rPr lang="en-GB" sz="1100" baseline="0"/>
              <a:t>total change 5.0 years</a:t>
            </a:r>
            <a:endParaRPr lang="en-GB" sz="1100"/>
          </a:p>
        </c:rich>
      </c:tx>
      <c:overlay val="0"/>
    </c:title>
    <c:autoTitleDeleted val="0"/>
    <c:plotArea>
      <c:layout/>
      <c:barChart>
        <c:barDir val="col"/>
        <c:grouping val="stacked"/>
        <c:varyColors val="0"/>
        <c:ser>
          <c:idx val="0"/>
          <c:order val="0"/>
          <c:tx>
            <c:strRef>
              <c:f>Fig.2!$N$89</c:f>
              <c:strCache>
                <c:ptCount val="1"/>
                <c:pt idx="0">
                  <c:v>CVD</c:v>
                </c:pt>
              </c:strCache>
            </c:strRef>
          </c:tx>
          <c:spPr>
            <a:solidFill>
              <a:srgbClr val="FF0000"/>
            </a:solidFill>
          </c:spPr>
          <c:invertIfNegative val="0"/>
          <c:cat>
            <c:strRef>
              <c:f>Fig.2!$M$90:$M$108</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Fig.2!$N$90:$N$108</c:f>
              <c:numCache>
                <c:formatCode>0.00</c:formatCode>
                <c:ptCount val="19"/>
                <c:pt idx="0">
                  <c:v>5.9962447431038462E-3</c:v>
                </c:pt>
                <c:pt idx="1">
                  <c:v>2.0818774754702853E-3</c:v>
                </c:pt>
                <c:pt idx="2">
                  <c:v>1.4831404070776975E-3</c:v>
                </c:pt>
                <c:pt idx="3">
                  <c:v>1.5698393452269739E-3</c:v>
                </c:pt>
                <c:pt idx="4">
                  <c:v>3.8194105776683802E-3</c:v>
                </c:pt>
                <c:pt idx="5">
                  <c:v>6.2823848627003819E-3</c:v>
                </c:pt>
                <c:pt idx="6">
                  <c:v>9.2752908031668614E-3</c:v>
                </c:pt>
                <c:pt idx="7">
                  <c:v>2.1280113059396852E-2</c:v>
                </c:pt>
                <c:pt idx="8">
                  <c:v>4.2841363539224707E-2</c:v>
                </c:pt>
                <c:pt idx="9">
                  <c:v>6.7096151985626268E-2</c:v>
                </c:pt>
                <c:pt idx="10">
                  <c:v>9.3896672027254588E-2</c:v>
                </c:pt>
                <c:pt idx="11">
                  <c:v>0.12185639313552452</c:v>
                </c:pt>
                <c:pt idx="12">
                  <c:v>0.19637869452202586</c:v>
                </c:pt>
                <c:pt idx="13">
                  <c:v>0.28615450141364618</c:v>
                </c:pt>
                <c:pt idx="14">
                  <c:v>0.36181072445441925</c:v>
                </c:pt>
                <c:pt idx="15">
                  <c:v>0.37171830859352112</c:v>
                </c:pt>
                <c:pt idx="16">
                  <c:v>0.36810678701666966</c:v>
                </c:pt>
                <c:pt idx="17">
                  <c:v>0.25225427897579406</c:v>
                </c:pt>
                <c:pt idx="18">
                  <c:v>0.18171170512629914</c:v>
                </c:pt>
              </c:numCache>
            </c:numRef>
          </c:val>
        </c:ser>
        <c:ser>
          <c:idx val="1"/>
          <c:order val="1"/>
          <c:tx>
            <c:strRef>
              <c:f>Fig.2!$O$89</c:f>
              <c:strCache>
                <c:ptCount val="1"/>
                <c:pt idx="0">
                  <c:v>cancer</c:v>
                </c:pt>
              </c:strCache>
            </c:strRef>
          </c:tx>
          <c:spPr>
            <a:solidFill>
              <a:srgbClr val="FFC000"/>
            </a:solidFill>
          </c:spPr>
          <c:invertIfNegative val="0"/>
          <c:cat>
            <c:strRef>
              <c:f>Fig.2!$M$90:$M$108</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Fig.2!$O$90:$O$108</c:f>
              <c:numCache>
                <c:formatCode>0.00</c:formatCode>
                <c:ptCount val="19"/>
                <c:pt idx="0">
                  <c:v>1.5720347890204685E-3</c:v>
                </c:pt>
                <c:pt idx="1">
                  <c:v>7.6836945644947205E-3</c:v>
                </c:pt>
                <c:pt idx="2">
                  <c:v>6.6518222406117414E-3</c:v>
                </c:pt>
                <c:pt idx="3">
                  <c:v>4.9106548683421434E-3</c:v>
                </c:pt>
                <c:pt idx="4">
                  <c:v>6.6461201477235436E-3</c:v>
                </c:pt>
                <c:pt idx="5">
                  <c:v>5.5139510219424761E-3</c:v>
                </c:pt>
                <c:pt idx="6">
                  <c:v>6.5853751991882441E-3</c:v>
                </c:pt>
                <c:pt idx="7">
                  <c:v>1.1635270364659781E-2</c:v>
                </c:pt>
                <c:pt idx="8">
                  <c:v>2.6865524773744241E-2</c:v>
                </c:pt>
                <c:pt idx="9">
                  <c:v>4.9948267359808875E-2</c:v>
                </c:pt>
                <c:pt idx="10">
                  <c:v>7.2163936895939543E-2</c:v>
                </c:pt>
                <c:pt idx="11">
                  <c:v>6.9206709584985079E-2</c:v>
                </c:pt>
                <c:pt idx="12">
                  <c:v>8.983348867832544E-2</c:v>
                </c:pt>
                <c:pt idx="13">
                  <c:v>0.10698334454939175</c:v>
                </c:pt>
                <c:pt idx="14">
                  <c:v>0.11037958223633033</c:v>
                </c:pt>
                <c:pt idx="15">
                  <c:v>8.7154881515136506E-2</c:v>
                </c:pt>
                <c:pt idx="16">
                  <c:v>4.9337456860150834E-2</c:v>
                </c:pt>
                <c:pt idx="17">
                  <c:v>1.60681587768235E-2</c:v>
                </c:pt>
                <c:pt idx="18">
                  <c:v>-5.0608679774964945E-3</c:v>
                </c:pt>
              </c:numCache>
            </c:numRef>
          </c:val>
        </c:ser>
        <c:ser>
          <c:idx val="2"/>
          <c:order val="2"/>
          <c:tx>
            <c:strRef>
              <c:f>Fig.2!$P$89</c:f>
              <c:strCache>
                <c:ptCount val="1"/>
                <c:pt idx="0">
                  <c:v>external</c:v>
                </c:pt>
              </c:strCache>
            </c:strRef>
          </c:tx>
          <c:spPr>
            <a:solidFill>
              <a:schemeClr val="tx2">
                <a:lumMod val="75000"/>
              </a:schemeClr>
            </a:solidFill>
          </c:spPr>
          <c:invertIfNegative val="0"/>
          <c:cat>
            <c:strRef>
              <c:f>Fig.2!$M$90:$M$108</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Fig.2!$P$90:$P$108</c:f>
              <c:numCache>
                <c:formatCode>0.00</c:formatCode>
                <c:ptCount val="19"/>
                <c:pt idx="0">
                  <c:v>2.2255068774573825E-2</c:v>
                </c:pt>
                <c:pt idx="1">
                  <c:v>4.2504099614820094E-2</c:v>
                </c:pt>
                <c:pt idx="2">
                  <c:v>3.4774930428752023E-2</c:v>
                </c:pt>
                <c:pt idx="3">
                  <c:v>2.7810781471080175E-2</c:v>
                </c:pt>
                <c:pt idx="4">
                  <c:v>9.5162106553113732E-2</c:v>
                </c:pt>
                <c:pt idx="5">
                  <c:v>0.11069705614691053</c:v>
                </c:pt>
                <c:pt idx="6">
                  <c:v>8.4099201270056947E-2</c:v>
                </c:pt>
                <c:pt idx="7">
                  <c:v>7.626921181165984E-2</c:v>
                </c:pt>
                <c:pt idx="8">
                  <c:v>6.4051253441818903E-2</c:v>
                </c:pt>
                <c:pt idx="9">
                  <c:v>4.3980828430276078E-2</c:v>
                </c:pt>
                <c:pt idx="10">
                  <c:v>3.8264472540890208E-2</c:v>
                </c:pt>
                <c:pt idx="11">
                  <c:v>2.5198917360484512E-2</c:v>
                </c:pt>
                <c:pt idx="12">
                  <c:v>2.1638031175756956E-2</c:v>
                </c:pt>
                <c:pt idx="13">
                  <c:v>1.9413686459673139E-2</c:v>
                </c:pt>
                <c:pt idx="14">
                  <c:v>1.5926429101549264E-2</c:v>
                </c:pt>
                <c:pt idx="15">
                  <c:v>1.2450087527708417E-2</c:v>
                </c:pt>
                <c:pt idx="16">
                  <c:v>1.3367173818259958E-2</c:v>
                </c:pt>
                <c:pt idx="17">
                  <c:v>9.425126914453864E-3</c:v>
                </c:pt>
                <c:pt idx="18">
                  <c:v>5.5969150751505074E-3</c:v>
                </c:pt>
              </c:numCache>
            </c:numRef>
          </c:val>
        </c:ser>
        <c:ser>
          <c:idx val="3"/>
          <c:order val="3"/>
          <c:tx>
            <c:strRef>
              <c:f>Fig.2!$Q$89</c:f>
              <c:strCache>
                <c:ptCount val="1"/>
                <c:pt idx="0">
                  <c:v>Respiratory</c:v>
                </c:pt>
              </c:strCache>
            </c:strRef>
          </c:tx>
          <c:spPr>
            <a:solidFill>
              <a:schemeClr val="accent5">
                <a:lumMod val="60000"/>
                <a:lumOff val="40000"/>
              </a:schemeClr>
            </a:solidFill>
          </c:spPr>
          <c:invertIfNegative val="0"/>
          <c:cat>
            <c:strRef>
              <c:f>Fig.2!$M$90:$M$108</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Fig.2!$Q$90:$Q$108</c:f>
              <c:numCache>
                <c:formatCode>0.00</c:formatCode>
                <c:ptCount val="19"/>
                <c:pt idx="0">
                  <c:v>6.2245082465929365E-2</c:v>
                </c:pt>
                <c:pt idx="1">
                  <c:v>1.3558373589039167E-2</c:v>
                </c:pt>
                <c:pt idx="2">
                  <c:v>1.7554410220820557E-3</c:v>
                </c:pt>
                <c:pt idx="3">
                  <c:v>2.0222221901916408E-3</c:v>
                </c:pt>
                <c:pt idx="4">
                  <c:v>2.3939195842088948E-3</c:v>
                </c:pt>
                <c:pt idx="5">
                  <c:v>2.0191984355584572E-3</c:v>
                </c:pt>
                <c:pt idx="6">
                  <c:v>2.6626489228811613E-3</c:v>
                </c:pt>
                <c:pt idx="7">
                  <c:v>3.6485087017782934E-3</c:v>
                </c:pt>
                <c:pt idx="8">
                  <c:v>3.5470639449426658E-3</c:v>
                </c:pt>
                <c:pt idx="9">
                  <c:v>3.9356010590079569E-3</c:v>
                </c:pt>
                <c:pt idx="10">
                  <c:v>6.1144748792562606E-3</c:v>
                </c:pt>
                <c:pt idx="11">
                  <c:v>9.3629774968285728E-3</c:v>
                </c:pt>
                <c:pt idx="12">
                  <c:v>1.8473885102218191E-2</c:v>
                </c:pt>
                <c:pt idx="13">
                  <c:v>3.1841944771133689E-2</c:v>
                </c:pt>
                <c:pt idx="14">
                  <c:v>4.6936384074898634E-2</c:v>
                </c:pt>
                <c:pt idx="15">
                  <c:v>5.6273579811080977E-2</c:v>
                </c:pt>
                <c:pt idx="16">
                  <c:v>5.5283302709626926E-2</c:v>
                </c:pt>
                <c:pt idx="17">
                  <c:v>3.664325175661446E-2</c:v>
                </c:pt>
                <c:pt idx="18">
                  <c:v>2.8457536700768449E-2</c:v>
                </c:pt>
              </c:numCache>
            </c:numRef>
          </c:val>
        </c:ser>
        <c:ser>
          <c:idx val="4"/>
          <c:order val="4"/>
          <c:tx>
            <c:strRef>
              <c:f>Fig.2!$R$89</c:f>
              <c:strCache>
                <c:ptCount val="1"/>
                <c:pt idx="0">
                  <c:v>Digestive</c:v>
                </c:pt>
              </c:strCache>
            </c:strRef>
          </c:tx>
          <c:spPr>
            <a:solidFill>
              <a:schemeClr val="accent3">
                <a:lumMod val="50000"/>
              </a:schemeClr>
            </a:solidFill>
          </c:spPr>
          <c:invertIfNegative val="0"/>
          <c:cat>
            <c:strRef>
              <c:f>Fig.2!$M$90:$M$108</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Fig.2!$R$90:$R$108</c:f>
              <c:numCache>
                <c:formatCode>0.00</c:formatCode>
                <c:ptCount val="19"/>
                <c:pt idx="0">
                  <c:v>1.0896518080618213E-2</c:v>
                </c:pt>
                <c:pt idx="1">
                  <c:v>2.3695111948669428E-3</c:v>
                </c:pt>
                <c:pt idx="2">
                  <c:v>4.7811422837595527E-4</c:v>
                </c:pt>
                <c:pt idx="3">
                  <c:v>6.8349870600064395E-4</c:v>
                </c:pt>
                <c:pt idx="4">
                  <c:v>3.6852173252934281E-4</c:v>
                </c:pt>
                <c:pt idx="5">
                  <c:v>3.6871500481503214E-4</c:v>
                </c:pt>
                <c:pt idx="6">
                  <c:v>2.9881070536772148E-3</c:v>
                </c:pt>
                <c:pt idx="7">
                  <c:v>9.5270314748592266E-3</c:v>
                </c:pt>
                <c:pt idx="8">
                  <c:v>1.4018395921732398E-2</c:v>
                </c:pt>
                <c:pt idx="9">
                  <c:v>8.3381644380795018E-3</c:v>
                </c:pt>
                <c:pt idx="10">
                  <c:v>8.3564748452846487E-3</c:v>
                </c:pt>
                <c:pt idx="11">
                  <c:v>4.0888720891098006E-3</c:v>
                </c:pt>
                <c:pt idx="12">
                  <c:v>1.1109762689188821E-2</c:v>
                </c:pt>
                <c:pt idx="13">
                  <c:v>2.0326430456432378E-2</c:v>
                </c:pt>
                <c:pt idx="14">
                  <c:v>2.3136911111686101E-2</c:v>
                </c:pt>
                <c:pt idx="15">
                  <c:v>1.6895768597715112E-2</c:v>
                </c:pt>
                <c:pt idx="16">
                  <c:v>1.5864437730733823E-2</c:v>
                </c:pt>
                <c:pt idx="17">
                  <c:v>1.0066721887096621E-2</c:v>
                </c:pt>
                <c:pt idx="18">
                  <c:v>5.1945803562768768E-3</c:v>
                </c:pt>
              </c:numCache>
            </c:numRef>
          </c:val>
        </c:ser>
        <c:ser>
          <c:idx val="5"/>
          <c:order val="5"/>
          <c:tx>
            <c:strRef>
              <c:f>Fig.2!$S$89</c:f>
              <c:strCache>
                <c:ptCount val="1"/>
                <c:pt idx="0">
                  <c:v>infectious</c:v>
                </c:pt>
              </c:strCache>
            </c:strRef>
          </c:tx>
          <c:invertIfNegative val="0"/>
          <c:cat>
            <c:strRef>
              <c:f>Fig.2!$M$90:$M$108</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Fig.2!$S$90:$S$108</c:f>
              <c:numCache>
                <c:formatCode>0.00</c:formatCode>
                <c:ptCount val="19"/>
                <c:pt idx="0">
                  <c:v>2.0392553955419588E-2</c:v>
                </c:pt>
                <c:pt idx="1">
                  <c:v>5.7024179541266574E-3</c:v>
                </c:pt>
                <c:pt idx="2">
                  <c:v>1.0050261787017461E-3</c:v>
                </c:pt>
                <c:pt idx="3">
                  <c:v>8.5048285659914259E-4</c:v>
                </c:pt>
                <c:pt idx="4">
                  <c:v>9.7196469897654393E-4</c:v>
                </c:pt>
                <c:pt idx="5">
                  <c:v>2.7249304824952363E-4</c:v>
                </c:pt>
                <c:pt idx="6">
                  <c:v>6.522468992261498E-4</c:v>
                </c:pt>
                <c:pt idx="7">
                  <c:v>1.1416468824065187E-4</c:v>
                </c:pt>
                <c:pt idx="8">
                  <c:v>-1.3768083801298677E-3</c:v>
                </c:pt>
                <c:pt idx="9">
                  <c:v>-4.9127948588518202E-3</c:v>
                </c:pt>
                <c:pt idx="10">
                  <c:v>-5.7729343641637334E-3</c:v>
                </c:pt>
                <c:pt idx="11">
                  <c:v>-4.2103122463430231E-3</c:v>
                </c:pt>
                <c:pt idx="12">
                  <c:v>-2.244376322152913E-3</c:v>
                </c:pt>
                <c:pt idx="13">
                  <c:v>-1.1907590676556985E-3</c:v>
                </c:pt>
                <c:pt idx="14">
                  <c:v>-1.056094980317905E-3</c:v>
                </c:pt>
                <c:pt idx="15">
                  <c:v>-1.4824074393628547E-3</c:v>
                </c:pt>
                <c:pt idx="16">
                  <c:v>-3.8136980966794382E-3</c:v>
                </c:pt>
                <c:pt idx="17">
                  <c:v>-3.9219301981561656E-3</c:v>
                </c:pt>
                <c:pt idx="18">
                  <c:v>-5.8981573541590174E-3</c:v>
                </c:pt>
              </c:numCache>
            </c:numRef>
          </c:val>
        </c:ser>
        <c:ser>
          <c:idx val="6"/>
          <c:order val="6"/>
          <c:tx>
            <c:strRef>
              <c:f>Fig.2!$T$89</c:f>
              <c:strCache>
                <c:ptCount val="1"/>
                <c:pt idx="0">
                  <c:v>other</c:v>
                </c:pt>
              </c:strCache>
            </c:strRef>
          </c:tx>
          <c:spPr>
            <a:solidFill>
              <a:schemeClr val="bg1">
                <a:lumMod val="65000"/>
              </a:schemeClr>
            </a:solidFill>
          </c:spPr>
          <c:invertIfNegative val="0"/>
          <c:cat>
            <c:strRef>
              <c:f>Fig.2!$M$90:$M$108</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Fig.2!$T$90:$T$108</c:f>
              <c:numCache>
                <c:formatCode>0.00</c:formatCode>
                <c:ptCount val="19"/>
                <c:pt idx="0">
                  <c:v>0.36986889365279269</c:v>
                </c:pt>
                <c:pt idx="1">
                  <c:v>3.3111945838037588E-2</c:v>
                </c:pt>
                <c:pt idx="2">
                  <c:v>1.1276845733836707E-2</c:v>
                </c:pt>
                <c:pt idx="3">
                  <c:v>8.8099376822655378E-3</c:v>
                </c:pt>
                <c:pt idx="4">
                  <c:v>1.2541721805638765E-2</c:v>
                </c:pt>
                <c:pt idx="5">
                  <c:v>1.7533551819304563E-2</c:v>
                </c:pt>
                <c:pt idx="6">
                  <c:v>3.5734213265903599E-2</c:v>
                </c:pt>
                <c:pt idx="7">
                  <c:v>3.6582284854572038E-2</c:v>
                </c:pt>
                <c:pt idx="8">
                  <c:v>2.944625244400785E-2</c:v>
                </c:pt>
                <c:pt idx="9">
                  <c:v>1.4195020132640578E-2</c:v>
                </c:pt>
                <c:pt idx="10">
                  <c:v>6.3628925629647453E-3</c:v>
                </c:pt>
                <c:pt idx="11">
                  <c:v>-2.9878495681965028E-4</c:v>
                </c:pt>
                <c:pt idx="12">
                  <c:v>-3.1109120410532489E-3</c:v>
                </c:pt>
                <c:pt idx="13">
                  <c:v>9.6636996660182637E-4</c:v>
                </c:pt>
                <c:pt idx="14">
                  <c:v>1.0397556996770151E-2</c:v>
                </c:pt>
                <c:pt idx="15">
                  <c:v>1.0049585255793745E-2</c:v>
                </c:pt>
                <c:pt idx="16">
                  <c:v>4.5135174133482895E-3</c:v>
                </c:pt>
                <c:pt idx="17">
                  <c:v>-8.6262446019044867E-4</c:v>
                </c:pt>
                <c:pt idx="18">
                  <c:v>-2.0750575539583808E-2</c:v>
                </c:pt>
              </c:numCache>
            </c:numRef>
          </c:val>
        </c:ser>
        <c:dLbls>
          <c:showLegendKey val="0"/>
          <c:showVal val="0"/>
          <c:showCatName val="0"/>
          <c:showSerName val="0"/>
          <c:showPercent val="0"/>
          <c:showBubbleSize val="0"/>
        </c:dLbls>
        <c:gapWidth val="30"/>
        <c:overlap val="100"/>
        <c:axId val="167081088"/>
        <c:axId val="167083008"/>
      </c:barChart>
      <c:catAx>
        <c:axId val="167081088"/>
        <c:scaling>
          <c:orientation val="minMax"/>
        </c:scaling>
        <c:delete val="0"/>
        <c:axPos val="b"/>
        <c:title>
          <c:tx>
            <c:rich>
              <a:bodyPr/>
              <a:lstStyle/>
              <a:p>
                <a:pPr>
                  <a:defRPr/>
                </a:pPr>
                <a:r>
                  <a:rPr lang="en-GB"/>
                  <a:t>age groups</a:t>
                </a:r>
              </a:p>
            </c:rich>
          </c:tx>
          <c:overlay val="0"/>
        </c:title>
        <c:numFmt formatCode="General" sourceLinked="1"/>
        <c:majorTickMark val="out"/>
        <c:minorTickMark val="none"/>
        <c:tickLblPos val="high"/>
        <c:crossAx val="167083008"/>
        <c:crosses val="autoZero"/>
        <c:auto val="1"/>
        <c:lblAlgn val="ctr"/>
        <c:lblOffset val="100"/>
        <c:noMultiLvlLbl val="0"/>
      </c:catAx>
      <c:valAx>
        <c:axId val="167083008"/>
        <c:scaling>
          <c:orientation val="minMax"/>
          <c:max val="0.8"/>
          <c:min val="-0.30000000000000032"/>
        </c:scaling>
        <c:delete val="0"/>
        <c:axPos val="l"/>
        <c:title>
          <c:tx>
            <c:rich>
              <a:bodyPr rot="-5400000" vert="horz"/>
              <a:lstStyle/>
              <a:p>
                <a:pPr>
                  <a:defRPr/>
                </a:pPr>
                <a:r>
                  <a:rPr lang="en-GB"/>
                  <a:t>years</a:t>
                </a:r>
              </a:p>
            </c:rich>
          </c:tx>
          <c:overlay val="0"/>
        </c:title>
        <c:numFmt formatCode="0.0" sourceLinked="0"/>
        <c:majorTickMark val="out"/>
        <c:minorTickMark val="none"/>
        <c:tickLblPos val="nextTo"/>
        <c:txPr>
          <a:bodyPr/>
          <a:lstStyle/>
          <a:p>
            <a:pPr>
              <a:defRPr sz="900"/>
            </a:pPr>
            <a:endParaRPr lang="nl-NL"/>
          </a:p>
        </c:txPr>
        <c:crossAx val="167081088"/>
        <c:crosses val="autoZero"/>
        <c:crossBetween val="between"/>
        <c:majorUnit val="0.1"/>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100"/>
              <a:t>Contribution to life</a:t>
            </a:r>
            <a:r>
              <a:rPr lang="en-GB" sz="1100" baseline="0"/>
              <a:t> expectancy by cause </a:t>
            </a:r>
          </a:p>
          <a:p>
            <a:pPr>
              <a:defRPr/>
            </a:pPr>
            <a:r>
              <a:rPr lang="en-GB" sz="1100" baseline="0"/>
              <a:t>between 1990 and 2010 in the EU countries (females); </a:t>
            </a:r>
          </a:p>
          <a:p>
            <a:pPr>
              <a:defRPr/>
            </a:pPr>
            <a:r>
              <a:rPr lang="en-GB" sz="1100" baseline="0"/>
              <a:t>total change 3.9 years</a:t>
            </a:r>
            <a:endParaRPr lang="en-GB" sz="1100"/>
          </a:p>
        </c:rich>
      </c:tx>
      <c:overlay val="0"/>
    </c:title>
    <c:autoTitleDeleted val="0"/>
    <c:plotArea>
      <c:layout/>
      <c:barChart>
        <c:barDir val="col"/>
        <c:grouping val="stacked"/>
        <c:varyColors val="0"/>
        <c:ser>
          <c:idx val="0"/>
          <c:order val="0"/>
          <c:tx>
            <c:strRef>
              <c:f>Fig.2!$N$133</c:f>
              <c:strCache>
                <c:ptCount val="1"/>
                <c:pt idx="0">
                  <c:v>CVD</c:v>
                </c:pt>
              </c:strCache>
            </c:strRef>
          </c:tx>
          <c:spPr>
            <a:solidFill>
              <a:srgbClr val="FF0000"/>
            </a:solidFill>
          </c:spPr>
          <c:invertIfNegative val="0"/>
          <c:cat>
            <c:strRef>
              <c:f>Fig.2!$M$134:$M$152</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Fig.2!$N$134:$N$152</c:f>
              <c:numCache>
                <c:formatCode>0.00</c:formatCode>
                <c:ptCount val="19"/>
                <c:pt idx="0">
                  <c:v>3.4977861489621192E-3</c:v>
                </c:pt>
                <c:pt idx="1">
                  <c:v>3.3509161438147381E-3</c:v>
                </c:pt>
                <c:pt idx="2">
                  <c:v>1.0930295228182385E-3</c:v>
                </c:pt>
                <c:pt idx="3">
                  <c:v>2.5127605677648952E-3</c:v>
                </c:pt>
                <c:pt idx="4">
                  <c:v>2.8160509581629145E-3</c:v>
                </c:pt>
                <c:pt idx="5">
                  <c:v>3.0654741890738559E-3</c:v>
                </c:pt>
                <c:pt idx="6">
                  <c:v>4.6270808183243072E-3</c:v>
                </c:pt>
                <c:pt idx="7">
                  <c:v>9.4753116772080294E-3</c:v>
                </c:pt>
                <c:pt idx="8">
                  <c:v>1.7305476226896755E-2</c:v>
                </c:pt>
                <c:pt idx="9">
                  <c:v>2.2303036502417481E-2</c:v>
                </c:pt>
                <c:pt idx="10">
                  <c:v>3.6059720199375603E-2</c:v>
                </c:pt>
                <c:pt idx="11">
                  <c:v>5.2981958680994673E-2</c:v>
                </c:pt>
                <c:pt idx="12">
                  <c:v>0.10701904530928724</c:v>
                </c:pt>
                <c:pt idx="13">
                  <c:v>0.1781124385836228</c:v>
                </c:pt>
                <c:pt idx="14">
                  <c:v>0.28566734700545882</c:v>
                </c:pt>
                <c:pt idx="15">
                  <c:v>0.37619649768382807</c:v>
                </c:pt>
                <c:pt idx="16">
                  <c:v>0.46899299510189196</c:v>
                </c:pt>
                <c:pt idx="17">
                  <c:v>0.41543272509495854</c:v>
                </c:pt>
                <c:pt idx="18">
                  <c:v>0.41130372759475148</c:v>
                </c:pt>
              </c:numCache>
            </c:numRef>
          </c:val>
        </c:ser>
        <c:ser>
          <c:idx val="1"/>
          <c:order val="1"/>
          <c:tx>
            <c:strRef>
              <c:f>Fig.2!$O$133</c:f>
              <c:strCache>
                <c:ptCount val="1"/>
                <c:pt idx="0">
                  <c:v>cancer</c:v>
                </c:pt>
              </c:strCache>
            </c:strRef>
          </c:tx>
          <c:spPr>
            <a:solidFill>
              <a:srgbClr val="FFC000"/>
            </a:solidFill>
          </c:spPr>
          <c:invertIfNegative val="0"/>
          <c:cat>
            <c:strRef>
              <c:f>Fig.2!$M$134:$M$152</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Fig.2!$O$134:$O$152</c:f>
              <c:numCache>
                <c:formatCode>0.00</c:formatCode>
                <c:ptCount val="19"/>
                <c:pt idx="0">
                  <c:v>1.0197296263969426E-3</c:v>
                </c:pt>
                <c:pt idx="1">
                  <c:v>6.1612064940778479E-3</c:v>
                </c:pt>
                <c:pt idx="2">
                  <c:v>5.5708264293353087E-3</c:v>
                </c:pt>
                <c:pt idx="3">
                  <c:v>4.0052928808281801E-3</c:v>
                </c:pt>
                <c:pt idx="4">
                  <c:v>3.6963919834139356E-3</c:v>
                </c:pt>
                <c:pt idx="5">
                  <c:v>3.7251863645005236E-3</c:v>
                </c:pt>
                <c:pt idx="6">
                  <c:v>6.0495751475861514E-3</c:v>
                </c:pt>
                <c:pt idx="7">
                  <c:v>1.5250951367541107E-2</c:v>
                </c:pt>
                <c:pt idx="8">
                  <c:v>3.0749055202507546E-2</c:v>
                </c:pt>
                <c:pt idx="9">
                  <c:v>4.0810466352910184E-2</c:v>
                </c:pt>
                <c:pt idx="10">
                  <c:v>4.6390336123681729E-2</c:v>
                </c:pt>
                <c:pt idx="11">
                  <c:v>2.871308769227655E-2</c:v>
                </c:pt>
                <c:pt idx="12">
                  <c:v>3.714898844231404E-2</c:v>
                </c:pt>
                <c:pt idx="13">
                  <c:v>3.8433137954133133E-2</c:v>
                </c:pt>
                <c:pt idx="14">
                  <c:v>4.8685092458569466E-2</c:v>
                </c:pt>
                <c:pt idx="15">
                  <c:v>4.0969402093591713E-2</c:v>
                </c:pt>
                <c:pt idx="16">
                  <c:v>3.5283464718309641E-2</c:v>
                </c:pt>
                <c:pt idx="17">
                  <c:v>1.688670400076811E-2</c:v>
                </c:pt>
                <c:pt idx="18">
                  <c:v>4.5406873211884186E-3</c:v>
                </c:pt>
              </c:numCache>
            </c:numRef>
          </c:val>
        </c:ser>
        <c:ser>
          <c:idx val="2"/>
          <c:order val="2"/>
          <c:tx>
            <c:strRef>
              <c:f>Fig.2!$P$133</c:f>
              <c:strCache>
                <c:ptCount val="1"/>
                <c:pt idx="0">
                  <c:v>external</c:v>
                </c:pt>
              </c:strCache>
            </c:strRef>
          </c:tx>
          <c:spPr>
            <a:solidFill>
              <a:schemeClr val="tx2">
                <a:lumMod val="75000"/>
              </a:schemeClr>
            </a:solidFill>
          </c:spPr>
          <c:invertIfNegative val="0"/>
          <c:cat>
            <c:strRef>
              <c:f>Fig.2!$M$134:$M$152</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Fig.2!$P$134:$P$152</c:f>
              <c:numCache>
                <c:formatCode>0.00</c:formatCode>
                <c:ptCount val="19"/>
                <c:pt idx="0">
                  <c:v>1.7829497023630025E-2</c:v>
                </c:pt>
                <c:pt idx="1">
                  <c:v>2.7962723179679651E-2</c:v>
                </c:pt>
                <c:pt idx="2">
                  <c:v>2.0882770144736006E-2</c:v>
                </c:pt>
                <c:pt idx="3">
                  <c:v>1.3301549467655573E-2</c:v>
                </c:pt>
                <c:pt idx="4">
                  <c:v>2.7396076300584583E-2</c:v>
                </c:pt>
                <c:pt idx="5">
                  <c:v>2.6401385012624776E-2</c:v>
                </c:pt>
                <c:pt idx="6">
                  <c:v>2.2907401532903902E-2</c:v>
                </c:pt>
                <c:pt idx="7">
                  <c:v>1.9659212076884498E-2</c:v>
                </c:pt>
                <c:pt idx="8">
                  <c:v>1.905624255062735E-2</c:v>
                </c:pt>
                <c:pt idx="9">
                  <c:v>1.6142015532956969E-2</c:v>
                </c:pt>
                <c:pt idx="10">
                  <c:v>1.3797528802265547E-2</c:v>
                </c:pt>
                <c:pt idx="11">
                  <c:v>1.0686480246431415E-2</c:v>
                </c:pt>
                <c:pt idx="12">
                  <c:v>1.2218466444491762E-2</c:v>
                </c:pt>
                <c:pt idx="13">
                  <c:v>1.3884729318011976E-2</c:v>
                </c:pt>
                <c:pt idx="14">
                  <c:v>1.3602786241554225E-2</c:v>
                </c:pt>
                <c:pt idx="15">
                  <c:v>1.4652766969205144E-2</c:v>
                </c:pt>
                <c:pt idx="16">
                  <c:v>1.8978349660222681E-2</c:v>
                </c:pt>
                <c:pt idx="17">
                  <c:v>1.7521623288254885E-2</c:v>
                </c:pt>
                <c:pt idx="18">
                  <c:v>2.4371700459648777E-2</c:v>
                </c:pt>
              </c:numCache>
            </c:numRef>
          </c:val>
        </c:ser>
        <c:ser>
          <c:idx val="3"/>
          <c:order val="3"/>
          <c:tx>
            <c:strRef>
              <c:f>Fig.2!$Q$133</c:f>
              <c:strCache>
                <c:ptCount val="1"/>
                <c:pt idx="0">
                  <c:v>Respiratory</c:v>
                </c:pt>
              </c:strCache>
            </c:strRef>
          </c:tx>
          <c:spPr>
            <a:solidFill>
              <a:schemeClr val="accent5">
                <a:lumMod val="60000"/>
                <a:lumOff val="40000"/>
              </a:schemeClr>
            </a:solidFill>
          </c:spPr>
          <c:invertIfNegative val="0"/>
          <c:cat>
            <c:strRef>
              <c:f>Fig.2!$M$134:$M$152</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Fig.2!$Q$134:$Q$152</c:f>
              <c:numCache>
                <c:formatCode>0.00</c:formatCode>
                <c:ptCount val="19"/>
                <c:pt idx="0">
                  <c:v>5.5577683760211521E-2</c:v>
                </c:pt>
                <c:pt idx="1">
                  <c:v>1.2853230912489324E-2</c:v>
                </c:pt>
                <c:pt idx="2">
                  <c:v>1.4417796857993631E-3</c:v>
                </c:pt>
                <c:pt idx="3">
                  <c:v>1.1009983205260204E-3</c:v>
                </c:pt>
                <c:pt idx="4">
                  <c:v>1.5540521873726597E-3</c:v>
                </c:pt>
                <c:pt idx="5">
                  <c:v>1.2379234787701858E-3</c:v>
                </c:pt>
                <c:pt idx="6">
                  <c:v>1.8567711729900603E-3</c:v>
                </c:pt>
                <c:pt idx="7">
                  <c:v>1.6373181754883888E-3</c:v>
                </c:pt>
                <c:pt idx="8">
                  <c:v>1.683922783570104E-3</c:v>
                </c:pt>
                <c:pt idx="9">
                  <c:v>1.6656126033689359E-3</c:v>
                </c:pt>
                <c:pt idx="10">
                  <c:v>2.305279729517357E-3</c:v>
                </c:pt>
                <c:pt idx="11">
                  <c:v>1.0172882100383386E-3</c:v>
                </c:pt>
                <c:pt idx="12">
                  <c:v>3.0581982874719441E-3</c:v>
                </c:pt>
                <c:pt idx="13">
                  <c:v>6.5720594757918121E-3</c:v>
                </c:pt>
                <c:pt idx="14">
                  <c:v>1.2206485282824661E-2</c:v>
                </c:pt>
                <c:pt idx="15">
                  <c:v>1.8309772962599585E-2</c:v>
                </c:pt>
                <c:pt idx="16">
                  <c:v>2.1871248754677389E-2</c:v>
                </c:pt>
                <c:pt idx="17">
                  <c:v>2.2434649206891116E-2</c:v>
                </c:pt>
                <c:pt idx="18">
                  <c:v>3.7990551525968828E-2</c:v>
                </c:pt>
              </c:numCache>
            </c:numRef>
          </c:val>
        </c:ser>
        <c:ser>
          <c:idx val="4"/>
          <c:order val="4"/>
          <c:tx>
            <c:strRef>
              <c:f>Fig.2!$R$133</c:f>
              <c:strCache>
                <c:ptCount val="1"/>
                <c:pt idx="0">
                  <c:v>Digestive</c:v>
                </c:pt>
              </c:strCache>
            </c:strRef>
          </c:tx>
          <c:spPr>
            <a:solidFill>
              <a:schemeClr val="accent3">
                <a:lumMod val="50000"/>
              </a:schemeClr>
            </a:solidFill>
          </c:spPr>
          <c:invertIfNegative val="0"/>
          <c:cat>
            <c:strRef>
              <c:f>Fig.2!$M$134:$M$152</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Fig.2!$R$134:$R$152</c:f>
              <c:numCache>
                <c:formatCode>0.00</c:formatCode>
                <c:ptCount val="19"/>
                <c:pt idx="0">
                  <c:v>9.4700951869739394E-3</c:v>
                </c:pt>
                <c:pt idx="1">
                  <c:v>2.0622983349981787E-3</c:v>
                </c:pt>
                <c:pt idx="2">
                  <c:v>1.1729844858321431E-3</c:v>
                </c:pt>
                <c:pt idx="3">
                  <c:v>7.7035433052403176E-4</c:v>
                </c:pt>
                <c:pt idx="4">
                  <c:v>3.2819134949283444E-4</c:v>
                </c:pt>
                <c:pt idx="5">
                  <c:v>9.4839657043274727E-4</c:v>
                </c:pt>
                <c:pt idx="6">
                  <c:v>1.3952501395998146E-3</c:v>
                </c:pt>
                <c:pt idx="7">
                  <c:v>3.5820016175417352E-3</c:v>
                </c:pt>
                <c:pt idx="8">
                  <c:v>7.0285565237542995E-3</c:v>
                </c:pt>
                <c:pt idx="9">
                  <c:v>6.2505904192735806E-3</c:v>
                </c:pt>
                <c:pt idx="10">
                  <c:v>5.5729047449872464E-3</c:v>
                </c:pt>
                <c:pt idx="11">
                  <c:v>2.3096426445153037E-3</c:v>
                </c:pt>
                <c:pt idx="12">
                  <c:v>4.1997965119338924E-3</c:v>
                </c:pt>
                <c:pt idx="13">
                  <c:v>1.1454091479450529E-2</c:v>
                </c:pt>
                <c:pt idx="14">
                  <c:v>1.5642796562439519E-2</c:v>
                </c:pt>
                <c:pt idx="15">
                  <c:v>1.5586322398546581E-2</c:v>
                </c:pt>
                <c:pt idx="16">
                  <c:v>1.5441834453358746E-2</c:v>
                </c:pt>
                <c:pt idx="17">
                  <c:v>1.0177659651764977E-2</c:v>
                </c:pt>
                <c:pt idx="18">
                  <c:v>4.5856089990554934E-3</c:v>
                </c:pt>
              </c:numCache>
            </c:numRef>
          </c:val>
        </c:ser>
        <c:ser>
          <c:idx val="5"/>
          <c:order val="5"/>
          <c:tx>
            <c:strRef>
              <c:f>Fig.2!$S$133</c:f>
              <c:strCache>
                <c:ptCount val="1"/>
                <c:pt idx="0">
                  <c:v>infectious</c:v>
                </c:pt>
              </c:strCache>
            </c:strRef>
          </c:tx>
          <c:invertIfNegative val="0"/>
          <c:cat>
            <c:strRef>
              <c:f>Fig.2!$M$134:$M$152</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Fig.2!$S$134:$S$152</c:f>
              <c:numCache>
                <c:formatCode>0.00</c:formatCode>
                <c:ptCount val="19"/>
                <c:pt idx="0">
                  <c:v>1.7219422782738025E-2</c:v>
                </c:pt>
                <c:pt idx="1">
                  <c:v>5.0094870936700092E-3</c:v>
                </c:pt>
                <c:pt idx="2">
                  <c:v>7.7146542395762198E-4</c:v>
                </c:pt>
                <c:pt idx="3">
                  <c:v>4.6737472695708134E-4</c:v>
                </c:pt>
                <c:pt idx="4">
                  <c:v>5.6056774288519974E-4</c:v>
                </c:pt>
                <c:pt idx="5">
                  <c:v>1.8672983425267763E-4</c:v>
                </c:pt>
                <c:pt idx="6">
                  <c:v>-1.1536847980755764E-4</c:v>
                </c:pt>
                <c:pt idx="7">
                  <c:v>-9.5261774887581816E-5</c:v>
                </c:pt>
                <c:pt idx="8">
                  <c:v>-1.2786924575313731E-3</c:v>
                </c:pt>
                <c:pt idx="9">
                  <c:v>-1.6383403786849383E-3</c:v>
                </c:pt>
                <c:pt idx="10">
                  <c:v>-2.3684130944235304E-3</c:v>
                </c:pt>
                <c:pt idx="11">
                  <c:v>-1.7242821509382946E-3</c:v>
                </c:pt>
                <c:pt idx="12">
                  <c:v>-7.648945224358472E-4</c:v>
                </c:pt>
                <c:pt idx="13">
                  <c:v>-1.6546190506921861E-3</c:v>
                </c:pt>
                <c:pt idx="14">
                  <c:v>-2.7615872612383897E-3</c:v>
                </c:pt>
                <c:pt idx="15">
                  <c:v>-4.8796097549310118E-3</c:v>
                </c:pt>
                <c:pt idx="16">
                  <c:v>-6.6041369219675006E-3</c:v>
                </c:pt>
                <c:pt idx="17">
                  <c:v>-7.3236934328876728E-3</c:v>
                </c:pt>
                <c:pt idx="18">
                  <c:v>-1.5225599325375316E-2</c:v>
                </c:pt>
              </c:numCache>
            </c:numRef>
          </c:val>
        </c:ser>
        <c:ser>
          <c:idx val="6"/>
          <c:order val="6"/>
          <c:tx>
            <c:strRef>
              <c:f>Fig.2!$T$133</c:f>
              <c:strCache>
                <c:ptCount val="1"/>
                <c:pt idx="0">
                  <c:v>other</c:v>
                </c:pt>
              </c:strCache>
            </c:strRef>
          </c:tx>
          <c:spPr>
            <a:solidFill>
              <a:schemeClr val="bg1">
                <a:lumMod val="65000"/>
              </a:schemeClr>
            </a:solidFill>
          </c:spPr>
          <c:invertIfNegative val="0"/>
          <c:cat>
            <c:strRef>
              <c:f>Fig.2!$M$134:$M$152</c:f>
              <c:strCache>
                <c:ptCount val="19"/>
                <c:pt idx="0">
                  <c:v>under 1s</c:v>
                </c:pt>
                <c:pt idx="1">
                  <c:v>1-4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Fig.2!$T$134:$T$152</c:f>
              <c:numCache>
                <c:formatCode>0.00</c:formatCode>
                <c:ptCount val="19"/>
                <c:pt idx="0">
                  <c:v>0.28939728674673676</c:v>
                </c:pt>
                <c:pt idx="1">
                  <c:v>2.805243661078239E-2</c:v>
                </c:pt>
                <c:pt idx="2">
                  <c:v>8.0044844758370426E-3</c:v>
                </c:pt>
                <c:pt idx="3">
                  <c:v>8.4504238802158241E-3</c:v>
                </c:pt>
                <c:pt idx="4">
                  <c:v>5.9504627681505823E-3</c:v>
                </c:pt>
                <c:pt idx="5">
                  <c:v>1.1267687100818441E-2</c:v>
                </c:pt>
                <c:pt idx="6">
                  <c:v>1.4797870082162833E-2</c:v>
                </c:pt>
                <c:pt idx="7">
                  <c:v>1.4111972545038504E-2</c:v>
                </c:pt>
                <c:pt idx="8">
                  <c:v>1.0058788837918541E-2</c:v>
                </c:pt>
                <c:pt idx="9">
                  <c:v>5.0812499005046027E-3</c:v>
                </c:pt>
                <c:pt idx="10">
                  <c:v>4.6696364850998835E-3</c:v>
                </c:pt>
                <c:pt idx="11">
                  <c:v>2.4289914592062929E-3</c:v>
                </c:pt>
                <c:pt idx="12">
                  <c:v>8.9739847410267685E-3</c:v>
                </c:pt>
                <c:pt idx="13">
                  <c:v>1.8996531538801341E-2</c:v>
                </c:pt>
                <c:pt idx="14">
                  <c:v>2.971031775884821E-2</c:v>
                </c:pt>
                <c:pt idx="15">
                  <c:v>3.0770347939068052E-2</c:v>
                </c:pt>
                <c:pt idx="16">
                  <c:v>2.0718922344953112E-2</c:v>
                </c:pt>
                <c:pt idx="17">
                  <c:v>1.1718456496869363E-3</c:v>
                </c:pt>
                <c:pt idx="18">
                  <c:v>-0.10431315409489555</c:v>
                </c:pt>
              </c:numCache>
            </c:numRef>
          </c:val>
        </c:ser>
        <c:dLbls>
          <c:showLegendKey val="0"/>
          <c:showVal val="0"/>
          <c:showCatName val="0"/>
          <c:showSerName val="0"/>
          <c:showPercent val="0"/>
          <c:showBubbleSize val="0"/>
        </c:dLbls>
        <c:gapWidth val="30"/>
        <c:overlap val="100"/>
        <c:axId val="167141376"/>
        <c:axId val="167143296"/>
      </c:barChart>
      <c:catAx>
        <c:axId val="167141376"/>
        <c:scaling>
          <c:orientation val="minMax"/>
        </c:scaling>
        <c:delete val="0"/>
        <c:axPos val="b"/>
        <c:title>
          <c:tx>
            <c:rich>
              <a:bodyPr/>
              <a:lstStyle/>
              <a:p>
                <a:pPr>
                  <a:defRPr/>
                </a:pPr>
                <a:r>
                  <a:rPr lang="en-GB"/>
                  <a:t>age groups</a:t>
                </a:r>
              </a:p>
            </c:rich>
          </c:tx>
          <c:overlay val="0"/>
        </c:title>
        <c:numFmt formatCode="General" sourceLinked="1"/>
        <c:majorTickMark val="out"/>
        <c:minorTickMark val="none"/>
        <c:tickLblPos val="high"/>
        <c:crossAx val="167143296"/>
        <c:crosses val="autoZero"/>
        <c:auto val="1"/>
        <c:lblAlgn val="ctr"/>
        <c:lblOffset val="100"/>
        <c:tickLblSkip val="1"/>
        <c:noMultiLvlLbl val="0"/>
      </c:catAx>
      <c:valAx>
        <c:axId val="167143296"/>
        <c:scaling>
          <c:orientation val="minMax"/>
          <c:max val="0.8"/>
          <c:min val="-0.30000000000000032"/>
        </c:scaling>
        <c:delete val="0"/>
        <c:axPos val="l"/>
        <c:title>
          <c:tx>
            <c:rich>
              <a:bodyPr rot="-5400000" vert="horz"/>
              <a:lstStyle/>
              <a:p>
                <a:pPr>
                  <a:defRPr/>
                </a:pPr>
                <a:r>
                  <a:rPr lang="en-GB"/>
                  <a:t>years</a:t>
                </a:r>
              </a:p>
            </c:rich>
          </c:tx>
          <c:overlay val="0"/>
        </c:title>
        <c:numFmt formatCode="0.0" sourceLinked="0"/>
        <c:majorTickMark val="out"/>
        <c:minorTickMark val="none"/>
        <c:tickLblPos val="nextTo"/>
        <c:txPr>
          <a:bodyPr/>
          <a:lstStyle/>
          <a:p>
            <a:pPr>
              <a:defRPr sz="900"/>
            </a:pPr>
            <a:endParaRPr lang="nl-NL"/>
          </a:p>
        </c:txPr>
        <c:crossAx val="167141376"/>
        <c:crosses val="autoZero"/>
        <c:crossBetween val="between"/>
        <c:majorUnit val="0.1"/>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1"/>
          <c:order val="0"/>
          <c:tx>
            <c:v>Male smoking vs. Tobacco Control Scale score</c:v>
          </c:tx>
          <c:spPr>
            <a:ln w="28575">
              <a:noFill/>
            </a:ln>
          </c:spPr>
          <c:marker>
            <c:symbol val="diamond"/>
            <c:size val="7"/>
            <c:spPr>
              <a:solidFill>
                <a:schemeClr val="tx1"/>
              </a:solidFill>
            </c:spPr>
          </c:marker>
          <c:trendline>
            <c:trendlineType val="linear"/>
            <c:dispRSqr val="0"/>
            <c:dispEq val="0"/>
          </c:trendline>
          <c:xVal>
            <c:numRef>
              <c:f>'Summary table Ch13 Imputed'!$B$5:$B$53</c:f>
              <c:numCache>
                <c:formatCode>General</c:formatCode>
                <c:ptCount val="49"/>
                <c:pt idx="0">
                  <c:v>52</c:v>
                </c:pt>
                <c:pt idx="1">
                  <c:v>51</c:v>
                </c:pt>
                <c:pt idx="2">
                  <c:v>62</c:v>
                </c:pt>
                <c:pt idx="3">
                  <c:v>61</c:v>
                </c:pt>
                <c:pt idx="4">
                  <c:v>46</c:v>
                </c:pt>
                <c:pt idx="6">
                  <c:v>77</c:v>
                </c:pt>
                <c:pt idx="7">
                  <c:v>69</c:v>
                </c:pt>
                <c:pt idx="9">
                  <c:v>46</c:v>
                </c:pt>
                <c:pt idx="10">
                  <c:v>50</c:v>
                </c:pt>
                <c:pt idx="11">
                  <c:v>33</c:v>
                </c:pt>
                <c:pt idx="12">
                  <c:v>37</c:v>
                </c:pt>
                <c:pt idx="13">
                  <c:v>48</c:v>
                </c:pt>
                <c:pt idx="14">
                  <c:v>32</c:v>
                </c:pt>
                <c:pt idx="16">
                  <c:v>55</c:v>
                </c:pt>
                <c:pt idx="17">
                  <c:v>46</c:v>
                </c:pt>
                <c:pt idx="18">
                  <c:v>43</c:v>
                </c:pt>
                <c:pt idx="19">
                  <c:v>47</c:v>
                </c:pt>
                <c:pt idx="20">
                  <c:v>52</c:v>
                </c:pt>
                <c:pt idx="21">
                  <c:v>32</c:v>
                </c:pt>
                <c:pt idx="22">
                  <c:v>40</c:v>
                </c:pt>
                <c:pt idx="24">
                  <c:v>44</c:v>
                </c:pt>
                <c:pt idx="32">
                  <c:v>43</c:v>
                </c:pt>
                <c:pt idx="33">
                  <c:v>34</c:v>
                </c:pt>
                <c:pt idx="34">
                  <c:v>41</c:v>
                </c:pt>
                <c:pt idx="35">
                  <c:v>34</c:v>
                </c:pt>
                <c:pt idx="36">
                  <c:v>45</c:v>
                </c:pt>
                <c:pt idx="37">
                  <c:v>40</c:v>
                </c:pt>
                <c:pt idx="39">
                  <c:v>43</c:v>
                </c:pt>
                <c:pt idx="40">
                  <c:v>44</c:v>
                </c:pt>
                <c:pt idx="41">
                  <c:v>41</c:v>
                </c:pt>
              </c:numCache>
            </c:numRef>
          </c:xVal>
          <c:yVal>
            <c:numRef>
              <c:f>'Summary table Ch13 Imputed'!$C$5:$C$53</c:f>
              <c:numCache>
                <c:formatCode>0</c:formatCode>
                <c:ptCount val="49"/>
                <c:pt idx="0">
                  <c:v>25.8</c:v>
                </c:pt>
                <c:pt idx="1">
                  <c:v>12.8</c:v>
                </c:pt>
                <c:pt idx="2">
                  <c:v>21</c:v>
                </c:pt>
                <c:pt idx="3">
                  <c:v>20.7</c:v>
                </c:pt>
                <c:pt idx="4">
                  <c:v>28</c:v>
                </c:pt>
                <c:pt idx="6">
                  <c:v>22</c:v>
                </c:pt>
                <c:pt idx="7">
                  <c:v>31</c:v>
                </c:pt>
                <c:pt idx="9">
                  <c:v>32</c:v>
                </c:pt>
                <c:pt idx="10">
                  <c:v>25</c:v>
                </c:pt>
                <c:pt idx="11">
                  <c:v>28</c:v>
                </c:pt>
                <c:pt idx="12">
                  <c:v>27.060000000000002</c:v>
                </c:pt>
                <c:pt idx="13">
                  <c:v>23</c:v>
                </c:pt>
                <c:pt idx="14">
                  <c:v>27.3</c:v>
                </c:pt>
                <c:pt idx="16">
                  <c:v>31.160000000000004</c:v>
                </c:pt>
                <c:pt idx="17">
                  <c:v>31.6</c:v>
                </c:pt>
                <c:pt idx="18">
                  <c:v>30.8</c:v>
                </c:pt>
                <c:pt idx="19">
                  <c:v>28.6</c:v>
                </c:pt>
                <c:pt idx="20">
                  <c:v>25.6</c:v>
                </c:pt>
                <c:pt idx="21">
                  <c:v>31.160000000000004</c:v>
                </c:pt>
                <c:pt idx="22">
                  <c:v>39.200000000000003</c:v>
                </c:pt>
                <c:pt idx="24">
                  <c:v>22.4</c:v>
                </c:pt>
                <c:pt idx="25">
                  <c:v>29.93333333333301</c:v>
                </c:pt>
                <c:pt idx="26">
                  <c:v>29.93333333333301</c:v>
                </c:pt>
                <c:pt idx="27">
                  <c:v>30.7</c:v>
                </c:pt>
                <c:pt idx="28">
                  <c:v>36.700000000000003</c:v>
                </c:pt>
                <c:pt idx="29">
                  <c:v>29.93333333333301</c:v>
                </c:pt>
                <c:pt idx="30">
                  <c:v>29.93333333333301</c:v>
                </c:pt>
                <c:pt idx="32">
                  <c:v>30.85</c:v>
                </c:pt>
                <c:pt idx="33">
                  <c:v>29.6</c:v>
                </c:pt>
                <c:pt idx="34">
                  <c:v>30.85</c:v>
                </c:pt>
                <c:pt idx="35">
                  <c:v>30.85</c:v>
                </c:pt>
                <c:pt idx="36">
                  <c:v>32.1</c:v>
                </c:pt>
                <c:pt idx="37">
                  <c:v>30.85</c:v>
                </c:pt>
                <c:pt idx="39">
                  <c:v>38.6</c:v>
                </c:pt>
                <c:pt idx="40">
                  <c:v>45</c:v>
                </c:pt>
                <c:pt idx="41">
                  <c:v>38.5</c:v>
                </c:pt>
                <c:pt idx="42">
                  <c:v>52.8</c:v>
                </c:pt>
                <c:pt idx="43">
                  <c:v>49.7</c:v>
                </c:pt>
                <c:pt idx="44">
                  <c:v>51.1</c:v>
                </c:pt>
                <c:pt idx="45" formatCode="0.00">
                  <c:v>46.05</c:v>
                </c:pt>
                <c:pt idx="46" formatCode="0.00">
                  <c:v>46.05</c:v>
                </c:pt>
                <c:pt idx="47">
                  <c:v>54.7</c:v>
                </c:pt>
                <c:pt idx="48">
                  <c:v>38</c:v>
                </c:pt>
              </c:numCache>
            </c:numRef>
          </c:yVal>
          <c:smooth val="0"/>
        </c:ser>
        <c:dLbls>
          <c:showLegendKey val="0"/>
          <c:showVal val="0"/>
          <c:showCatName val="0"/>
          <c:showSerName val="0"/>
          <c:showPercent val="0"/>
          <c:showBubbleSize val="0"/>
        </c:dLbls>
        <c:axId val="167152640"/>
        <c:axId val="167171200"/>
      </c:scatterChart>
      <c:valAx>
        <c:axId val="167152640"/>
        <c:scaling>
          <c:orientation val="minMax"/>
        </c:scaling>
        <c:delete val="0"/>
        <c:axPos val="b"/>
        <c:title>
          <c:tx>
            <c:rich>
              <a:bodyPr/>
              <a:lstStyle/>
              <a:p>
                <a:pPr>
                  <a:defRPr/>
                </a:pPr>
                <a:r>
                  <a:rPr lang="en-GB"/>
                  <a:t>Tobacco Control Scale</a:t>
                </a:r>
              </a:p>
            </c:rich>
          </c:tx>
          <c:overlay val="0"/>
        </c:title>
        <c:numFmt formatCode="General" sourceLinked="1"/>
        <c:majorTickMark val="out"/>
        <c:minorTickMark val="none"/>
        <c:tickLblPos val="nextTo"/>
        <c:crossAx val="167171200"/>
        <c:crosses val="autoZero"/>
        <c:crossBetween val="midCat"/>
      </c:valAx>
      <c:valAx>
        <c:axId val="167171200"/>
        <c:scaling>
          <c:orientation val="minMax"/>
        </c:scaling>
        <c:delete val="0"/>
        <c:axPos val="l"/>
        <c:title>
          <c:tx>
            <c:rich>
              <a:bodyPr rot="-5400000" vert="horz"/>
              <a:lstStyle/>
              <a:p>
                <a:pPr>
                  <a:defRPr/>
                </a:pPr>
                <a:r>
                  <a:rPr lang="en-GB"/>
                  <a:t>male smoking prevalence</a:t>
                </a:r>
                <a:r>
                  <a:rPr lang="en-GB" baseline="0"/>
                  <a:t> (%)</a:t>
                </a:r>
              </a:p>
            </c:rich>
          </c:tx>
          <c:overlay val="0"/>
        </c:title>
        <c:numFmt formatCode="0" sourceLinked="1"/>
        <c:majorTickMark val="out"/>
        <c:minorTickMark val="none"/>
        <c:tickLblPos val="nextTo"/>
        <c:crossAx val="167152640"/>
        <c:crosses val="autoZero"/>
        <c:crossBetween val="midCat"/>
      </c:valAx>
    </c:plotArea>
    <c:plotVisOnly val="1"/>
    <c:dispBlanksAs val="gap"/>
    <c:showDLblsOverMax val="0"/>
  </c:chart>
  <c:spPr>
    <a:ln>
      <a:noFill/>
    </a:ln>
  </c:sp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Alcohol consumption</c:v>
          </c:tx>
          <c:spPr>
            <a:ln w="28575">
              <a:noFill/>
            </a:ln>
          </c:spPr>
          <c:marker>
            <c:spPr>
              <a:solidFill>
                <a:schemeClr val="tx1"/>
              </a:solidFill>
            </c:spPr>
          </c:marker>
          <c:trendline>
            <c:trendlineType val="linear"/>
            <c:dispRSqr val="0"/>
            <c:dispEq val="0"/>
          </c:trendline>
          <c:xVal>
            <c:numRef>
              <c:f>'Summary tables'!$C$61:$C$109</c:f>
              <c:numCache>
                <c:formatCode>General</c:formatCode>
                <c:ptCount val="49"/>
                <c:pt idx="0">
                  <c:v>54.2</c:v>
                </c:pt>
                <c:pt idx="1">
                  <c:v>63.8</c:v>
                </c:pt>
                <c:pt idx="2">
                  <c:v>67.3</c:v>
                </c:pt>
                <c:pt idx="3">
                  <c:v>64.5</c:v>
                </c:pt>
                <c:pt idx="4">
                  <c:v>33.200000000000003</c:v>
                </c:pt>
                <c:pt idx="6">
                  <c:v>35.5</c:v>
                </c:pt>
                <c:pt idx="7">
                  <c:v>40.800000000000004</c:v>
                </c:pt>
                <c:pt idx="9">
                  <c:v>34.4</c:v>
                </c:pt>
                <c:pt idx="10">
                  <c:v>41.7</c:v>
                </c:pt>
                <c:pt idx="11">
                  <c:v>14.5</c:v>
                </c:pt>
                <c:pt idx="12">
                  <c:v>22.4</c:v>
                </c:pt>
                <c:pt idx="13">
                  <c:v>22.4</c:v>
                </c:pt>
                <c:pt idx="14">
                  <c:v>23</c:v>
                </c:pt>
                <c:pt idx="16">
                  <c:v>26.9</c:v>
                </c:pt>
                <c:pt idx="17">
                  <c:v>40.9</c:v>
                </c:pt>
                <c:pt idx="18">
                  <c:v>27.2</c:v>
                </c:pt>
                <c:pt idx="19">
                  <c:v>34.200000000000003</c:v>
                </c:pt>
                <c:pt idx="21">
                  <c:v>36.200000000000003</c:v>
                </c:pt>
                <c:pt idx="32">
                  <c:v>67</c:v>
                </c:pt>
                <c:pt idx="33">
                  <c:v>35.4</c:v>
                </c:pt>
                <c:pt idx="34">
                  <c:v>57</c:v>
                </c:pt>
                <c:pt idx="35">
                  <c:v>57.5</c:v>
                </c:pt>
              </c:numCache>
            </c:numRef>
          </c:xVal>
          <c:yVal>
            <c:numRef>
              <c:f>'Summary tables'!$D$61:$D$109</c:f>
              <c:numCache>
                <c:formatCode>0.00</c:formatCode>
                <c:ptCount val="49"/>
                <c:pt idx="0">
                  <c:v>0.9355131698455893</c:v>
                </c:pt>
                <c:pt idx="1">
                  <c:v>0.61762034514078601</c:v>
                </c:pt>
                <c:pt idx="2">
                  <c:v>0.60581289736603083</c:v>
                </c:pt>
                <c:pt idx="3">
                  <c:v>0.68392370572207051</c:v>
                </c:pt>
                <c:pt idx="4">
                  <c:v>0.98092643051771122</c:v>
                </c:pt>
                <c:pt idx="6">
                  <c:v>1.0345140781108084</c:v>
                </c:pt>
                <c:pt idx="7">
                  <c:v>1.2134423251589459</c:v>
                </c:pt>
                <c:pt idx="9">
                  <c:v>0.84014532243415718</c:v>
                </c:pt>
                <c:pt idx="10">
                  <c:v>0.8801089918256082</c:v>
                </c:pt>
                <c:pt idx="11">
                  <c:v>1.0672116257947322</c:v>
                </c:pt>
                <c:pt idx="12">
                  <c:v>1.055404178019971</c:v>
                </c:pt>
                <c:pt idx="13">
                  <c:v>0.94459582198001824</c:v>
                </c:pt>
                <c:pt idx="14">
                  <c:v>1.1625794732061763</c:v>
                </c:pt>
                <c:pt idx="16">
                  <c:v>1.2025431425976378</c:v>
                </c:pt>
                <c:pt idx="17">
                  <c:v>0.90735694822888291</c:v>
                </c:pt>
                <c:pt idx="18">
                  <c:v>1.1062670299727693</c:v>
                </c:pt>
                <c:pt idx="19">
                  <c:v>0.72842870118074476</c:v>
                </c:pt>
                <c:pt idx="20">
                  <c:v>0.47774750227066332</c:v>
                </c:pt>
                <c:pt idx="21">
                  <c:v>0.8365122615803815</c:v>
                </c:pt>
                <c:pt idx="22">
                  <c:v>0.84377838328791999</c:v>
                </c:pt>
                <c:pt idx="24">
                  <c:v>1.1262488646684947</c:v>
                </c:pt>
                <c:pt idx="25">
                  <c:v>1.1353315168029066</c:v>
                </c:pt>
                <c:pt idx="27">
                  <c:v>0.96639418710263358</c:v>
                </c:pt>
                <c:pt idx="29">
                  <c:v>0.52770208900999049</c:v>
                </c:pt>
                <c:pt idx="30">
                  <c:v>0.40054495912806548</c:v>
                </c:pt>
                <c:pt idx="32">
                  <c:v>0.97456857402361496</c:v>
                </c:pt>
                <c:pt idx="33">
                  <c:v>1.3832879200726711</c:v>
                </c:pt>
                <c:pt idx="34">
                  <c:v>0.96276112624886945</c:v>
                </c:pt>
                <c:pt idx="35">
                  <c:v>1.1362397820163488</c:v>
                </c:pt>
                <c:pt idx="36">
                  <c:v>1.0708446866485013</c:v>
                </c:pt>
                <c:pt idx="37">
                  <c:v>0.99364214350590352</c:v>
                </c:pt>
                <c:pt idx="39">
                  <c:v>1.4750227066303359</c:v>
                </c:pt>
                <c:pt idx="40">
                  <c:v>1.0172570390554041</c:v>
                </c:pt>
                <c:pt idx="41">
                  <c:v>1.2079927338782919</c:v>
                </c:pt>
                <c:pt idx="42">
                  <c:v>1.2670299727520418</c:v>
                </c:pt>
                <c:pt idx="43">
                  <c:v>0.77202543142598612</c:v>
                </c:pt>
                <c:pt idx="44">
                  <c:v>1.513169845594903</c:v>
                </c:pt>
                <c:pt idx="45">
                  <c:v>1.0445049954586738</c:v>
                </c:pt>
                <c:pt idx="46">
                  <c:v>0.37783832879201007</c:v>
                </c:pt>
                <c:pt idx="47">
                  <c:v>1.0408719346049047</c:v>
                </c:pt>
                <c:pt idx="48">
                  <c:v>0.72752043596730243</c:v>
                </c:pt>
              </c:numCache>
            </c:numRef>
          </c:yVal>
          <c:smooth val="0"/>
        </c:ser>
        <c:dLbls>
          <c:showLegendKey val="0"/>
          <c:showVal val="0"/>
          <c:showCatName val="0"/>
          <c:showSerName val="0"/>
          <c:showPercent val="0"/>
          <c:showBubbleSize val="0"/>
        </c:dLbls>
        <c:axId val="202127616"/>
        <c:axId val="202129792"/>
      </c:scatterChart>
      <c:valAx>
        <c:axId val="202127616"/>
        <c:scaling>
          <c:orientation val="minMax"/>
          <c:max val="100"/>
        </c:scaling>
        <c:delete val="0"/>
        <c:axPos val="b"/>
        <c:title>
          <c:tx>
            <c:rich>
              <a:bodyPr/>
              <a:lstStyle/>
              <a:p>
                <a:pPr>
                  <a:defRPr/>
                </a:pPr>
                <a:r>
                  <a:rPr lang="en-GB" sz="1000" b="1" i="0" u="none" strike="noStrike" baseline="0"/>
                  <a:t>Alcohol Policy Scale </a:t>
                </a:r>
                <a:endParaRPr lang="en-GB"/>
              </a:p>
            </c:rich>
          </c:tx>
          <c:overlay val="0"/>
        </c:title>
        <c:numFmt formatCode="General" sourceLinked="1"/>
        <c:majorTickMark val="out"/>
        <c:minorTickMark val="none"/>
        <c:tickLblPos val="nextTo"/>
        <c:crossAx val="202129792"/>
        <c:crosses val="autoZero"/>
        <c:crossBetween val="midCat"/>
      </c:valAx>
      <c:valAx>
        <c:axId val="202129792"/>
        <c:scaling>
          <c:orientation val="minMax"/>
        </c:scaling>
        <c:delete val="0"/>
        <c:axPos val="l"/>
        <c:title>
          <c:tx>
            <c:rich>
              <a:bodyPr rot="-5400000" vert="horz"/>
              <a:lstStyle/>
              <a:p>
                <a:pPr>
                  <a:defRPr/>
                </a:pPr>
                <a:r>
                  <a:rPr lang="en-GB" sz="1000" b="1" i="0" u="none" strike="noStrike" baseline="0"/>
                  <a:t> Litres alcohol per capita</a:t>
                </a:r>
                <a:endParaRPr lang="en-GB"/>
              </a:p>
            </c:rich>
          </c:tx>
          <c:overlay val="0"/>
        </c:title>
        <c:numFmt formatCode="0.00" sourceLinked="1"/>
        <c:majorTickMark val="out"/>
        <c:minorTickMark val="none"/>
        <c:tickLblPos val="nextTo"/>
        <c:crossAx val="202127616"/>
        <c:crosses val="autoZero"/>
        <c:crossBetween val="midCat"/>
      </c:valAx>
    </c:plotArea>
    <c:plotVisOnly val="1"/>
    <c:dispBlanksAs val="gap"/>
    <c:showDLblsOverMax val="0"/>
  </c:chart>
  <c:spPr>
    <a:ln>
      <a:noFill/>
    </a:ln>
  </c:sp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0"/>
            <c:dispEq val="0"/>
          </c:trendline>
          <c:xVal>
            <c:numRef>
              <c:f>'[Mitis Correlation between ESRRS score and road traffic mortality.xlsx]Sheet2'!$C$55:$C$79</c:f>
              <c:numCache>
                <c:formatCode>General</c:formatCode>
                <c:ptCount val="25"/>
                <c:pt idx="0">
                  <c:v>83</c:v>
                </c:pt>
                <c:pt idx="1">
                  <c:v>71</c:v>
                </c:pt>
                <c:pt idx="2">
                  <c:v>70</c:v>
                </c:pt>
                <c:pt idx="3">
                  <c:v>72</c:v>
                </c:pt>
                <c:pt idx="4">
                  <c:v>74</c:v>
                </c:pt>
                <c:pt idx="5">
                  <c:v>87</c:v>
                </c:pt>
                <c:pt idx="6">
                  <c:v>97</c:v>
                </c:pt>
                <c:pt idx="7">
                  <c:v>96</c:v>
                </c:pt>
                <c:pt idx="8">
                  <c:v>60</c:v>
                </c:pt>
                <c:pt idx="9">
                  <c:v>67</c:v>
                </c:pt>
                <c:pt idx="10">
                  <c:v>86</c:v>
                </c:pt>
                <c:pt idx="11">
                  <c:v>71</c:v>
                </c:pt>
                <c:pt idx="12">
                  <c:v>77</c:v>
                </c:pt>
                <c:pt idx="13">
                  <c:v>75</c:v>
                </c:pt>
                <c:pt idx="14">
                  <c:v>96</c:v>
                </c:pt>
                <c:pt idx="15">
                  <c:v>90</c:v>
                </c:pt>
                <c:pt idx="16">
                  <c:v>92</c:v>
                </c:pt>
                <c:pt idx="17">
                  <c:v>78</c:v>
                </c:pt>
                <c:pt idx="18">
                  <c:v>86</c:v>
                </c:pt>
                <c:pt idx="19">
                  <c:v>65</c:v>
                </c:pt>
                <c:pt idx="20">
                  <c:v>80</c:v>
                </c:pt>
                <c:pt idx="21">
                  <c:v>74</c:v>
                </c:pt>
                <c:pt idx="22">
                  <c:v>92</c:v>
                </c:pt>
                <c:pt idx="23">
                  <c:v>88</c:v>
                </c:pt>
                <c:pt idx="24">
                  <c:v>93</c:v>
                </c:pt>
              </c:numCache>
            </c:numRef>
          </c:xVal>
          <c:yVal>
            <c:numRef>
              <c:f>'[Mitis Correlation between ESRRS score and road traffic mortality.xlsx]Sheet2'!$D$55:$D$79</c:f>
              <c:numCache>
                <c:formatCode>General</c:formatCode>
                <c:ptCount val="25"/>
                <c:pt idx="0">
                  <c:v>0.96083537194059465</c:v>
                </c:pt>
                <c:pt idx="1">
                  <c:v>1.1834879269112495</c:v>
                </c:pt>
                <c:pt idx="2">
                  <c:v>1.0968280707390656</c:v>
                </c:pt>
                <c:pt idx="3">
                  <c:v>1.7673370655995408</c:v>
                </c:pt>
                <c:pt idx="4">
                  <c:v>2.4575015766223669</c:v>
                </c:pt>
                <c:pt idx="5">
                  <c:v>0.93749067387338336</c:v>
                </c:pt>
                <c:pt idx="6">
                  <c:v>0.89088111095907763</c:v>
                </c:pt>
                <c:pt idx="7">
                  <c:v>0.61560797193858419</c:v>
                </c:pt>
                <c:pt idx="8">
                  <c:v>1.643328133932981</c:v>
                </c:pt>
                <c:pt idx="9">
                  <c:v>2.2244490984999112</c:v>
                </c:pt>
                <c:pt idx="10">
                  <c:v>1.1922833352648921</c:v>
                </c:pt>
                <c:pt idx="11">
                  <c:v>0.77331612042290476</c:v>
                </c:pt>
                <c:pt idx="12">
                  <c:v>2.5100410697773312</c:v>
                </c:pt>
                <c:pt idx="13">
                  <c:v>2.5723835659772072</c:v>
                </c:pt>
                <c:pt idx="14">
                  <c:v>0.18999572239722962</c:v>
                </c:pt>
                <c:pt idx="15">
                  <c:v>0.5030907761925687</c:v>
                </c:pt>
                <c:pt idx="16">
                  <c:v>0.75058386182185344</c:v>
                </c:pt>
                <c:pt idx="17">
                  <c:v>2.1085293698354408</c:v>
                </c:pt>
                <c:pt idx="18">
                  <c:v>1.1490737931273798</c:v>
                </c:pt>
                <c:pt idx="19">
                  <c:v>2.7562534992521992</c:v>
                </c:pt>
                <c:pt idx="20">
                  <c:v>1.8517631042416942</c:v>
                </c:pt>
                <c:pt idx="21">
                  <c:v>1.1971766414825209</c:v>
                </c:pt>
                <c:pt idx="22">
                  <c:v>0.72293121974853081</c:v>
                </c:pt>
                <c:pt idx="23">
                  <c:v>0.46052223844841589</c:v>
                </c:pt>
                <c:pt idx="24">
                  <c:v>0.62642449563588065</c:v>
                </c:pt>
              </c:numCache>
            </c:numRef>
          </c:yVal>
          <c:smooth val="0"/>
        </c:ser>
        <c:dLbls>
          <c:showLegendKey val="0"/>
          <c:showVal val="0"/>
          <c:showCatName val="0"/>
          <c:showSerName val="0"/>
          <c:showPercent val="0"/>
          <c:showBubbleSize val="0"/>
        </c:dLbls>
        <c:axId val="202151424"/>
        <c:axId val="202153344"/>
      </c:scatterChart>
      <c:valAx>
        <c:axId val="202151424"/>
        <c:scaling>
          <c:orientation val="minMax"/>
          <c:max val="100"/>
          <c:min val="0"/>
        </c:scaling>
        <c:delete val="0"/>
        <c:axPos val="b"/>
        <c:title>
          <c:tx>
            <c:rich>
              <a:bodyPr/>
              <a:lstStyle/>
              <a:p>
                <a:pPr>
                  <a:defRPr/>
                </a:pPr>
                <a:r>
                  <a:rPr lang="nl-NL"/>
                  <a:t>Percentage  of drivers in front seats wearing seat belts</a:t>
                </a:r>
              </a:p>
            </c:rich>
          </c:tx>
          <c:overlay val="0"/>
        </c:title>
        <c:numFmt formatCode="General" sourceLinked="1"/>
        <c:majorTickMark val="none"/>
        <c:minorTickMark val="none"/>
        <c:tickLblPos val="nextTo"/>
        <c:crossAx val="202153344"/>
        <c:crosses val="autoZero"/>
        <c:crossBetween val="midCat"/>
      </c:valAx>
      <c:valAx>
        <c:axId val="202153344"/>
        <c:scaling>
          <c:orientation val="minMax"/>
        </c:scaling>
        <c:delete val="0"/>
        <c:axPos val="l"/>
        <c:title>
          <c:tx>
            <c:rich>
              <a:bodyPr/>
              <a:lstStyle/>
              <a:p>
                <a:pPr>
                  <a:defRPr/>
                </a:pPr>
                <a:r>
                  <a:rPr lang="nl-NL"/>
                  <a:t>Deaths per 10000 vehicles per year</a:t>
                </a:r>
              </a:p>
            </c:rich>
          </c:tx>
          <c:overlay val="0"/>
        </c:title>
        <c:numFmt formatCode="General" sourceLinked="1"/>
        <c:majorTickMark val="none"/>
        <c:minorTickMark val="none"/>
        <c:tickLblPos val="nextTo"/>
        <c:crossAx val="202151424"/>
        <c:crosses val="autoZero"/>
        <c:crossBetween val="midCat"/>
      </c:valAx>
    </c:plotArea>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0.61525</cdr:x>
      <cdr:y>0.17131</cdr:y>
    </cdr:from>
    <cdr:to>
      <cdr:x>0.80795</cdr:x>
      <cdr:y>0.24745</cdr:y>
    </cdr:to>
    <cdr:sp macro="" textlink="">
      <cdr:nvSpPr>
        <cdr:cNvPr id="2" name="TextBox 1"/>
        <cdr:cNvSpPr txBox="1"/>
      </cdr:nvSpPr>
      <cdr:spPr>
        <a:xfrm xmlns:a="http://schemas.openxmlformats.org/drawingml/2006/main">
          <a:off x="3146961" y="641267"/>
          <a:ext cx="985652" cy="2850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r=-0.402</a:t>
          </a:r>
        </a:p>
      </cdr:txBody>
    </cdr:sp>
  </cdr:relSizeAnchor>
</c:userShapes>
</file>

<file path=word/drawings/drawing2.xml><?xml version="1.0" encoding="utf-8"?>
<c:userShapes xmlns:c="http://schemas.openxmlformats.org/drawingml/2006/chart">
  <cdr:relSizeAnchor xmlns:cdr="http://schemas.openxmlformats.org/drawingml/2006/chartDrawing">
    <cdr:from>
      <cdr:x>0.69215</cdr:x>
      <cdr:y>0.17582</cdr:y>
    </cdr:from>
    <cdr:to>
      <cdr:x>0.86297</cdr:x>
      <cdr:y>0.42198</cdr:y>
    </cdr:to>
    <cdr:sp macro="" textlink="">
      <cdr:nvSpPr>
        <cdr:cNvPr id="2" name="TextBox 1"/>
        <cdr:cNvSpPr txBox="1"/>
      </cdr:nvSpPr>
      <cdr:spPr>
        <a:xfrm xmlns:a="http://schemas.openxmlformats.org/drawingml/2006/main">
          <a:off x="3705101" y="65314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t>r=-0.314</a:t>
          </a:r>
        </a:p>
      </cdr:txBody>
    </cdr:sp>
  </cdr:relSizeAnchor>
</c:userShapes>
</file>

<file path=word/drawings/drawing3.xml><?xml version="1.0" encoding="utf-8"?>
<c:userShapes xmlns:c="http://schemas.openxmlformats.org/drawingml/2006/chart">
  <cdr:relSizeAnchor xmlns:cdr="http://schemas.openxmlformats.org/drawingml/2006/chartDrawing">
    <cdr:from>
      <cdr:x>0.29777</cdr:x>
      <cdr:y>0.14556</cdr:y>
    </cdr:from>
    <cdr:to>
      <cdr:x>0.51206</cdr:x>
      <cdr:y>0.38921</cdr:y>
    </cdr:to>
    <cdr:sp macro="" textlink="">
      <cdr:nvSpPr>
        <cdr:cNvPr id="2" name="TextBox 1"/>
        <cdr:cNvSpPr txBox="1"/>
      </cdr:nvSpPr>
      <cdr:spPr>
        <a:xfrm xmlns:a="http://schemas.openxmlformats.org/drawingml/2006/main">
          <a:off x="1270659" y="54626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t>r=-0.854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36</Pages>
  <Words>28505</Words>
  <Characters>156780</Characters>
  <Application>Microsoft Office Word</Application>
  <DocSecurity>0</DocSecurity>
  <Lines>1306</Lines>
  <Paragraphs>369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unequal health of Europeans: reflection of the successes and failures of policies</vt:lpstr>
      <vt:lpstr>The unequal health of Europeans: reflection of the successes and failures of policies</vt:lpstr>
    </vt:vector>
  </TitlesOfParts>
  <Company>London School of Hygiene &amp; Tropical Medicine</Company>
  <LinksUpToDate>false</LinksUpToDate>
  <CharactersWithSpaces>184916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unequal health of Europeans: reflection of the successes and failures of policies</dc:title>
  <dc:creator>Johan Mackenbach</dc:creator>
  <cp:lastModifiedBy>SUG Cluster Maatschappelijke Gezondheidszorg IMGZ</cp:lastModifiedBy>
  <cp:revision>2</cp:revision>
  <cp:lastPrinted>2012-10-16T10:27:00Z</cp:lastPrinted>
  <dcterms:created xsi:type="dcterms:W3CDTF">2013-12-29T15:30:00Z</dcterms:created>
  <dcterms:modified xsi:type="dcterms:W3CDTF">2013-12-29T15:30:00Z</dcterms:modified>
</cp:coreProperties>
</file>